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635A2" w:rsidR="002C2E29" w:rsidP="00E635A2" w:rsidRDefault="004033D8" w14:paraId="7F6961A1" w14:textId="77777777">
      <w:pPr>
        <w:jc w:val="right"/>
        <w:rPr>
          <w:b/>
          <w:bCs/>
          <w:sz w:val="20"/>
          <w:szCs w:val="20"/>
        </w:rPr>
      </w:pPr>
      <w:r w:rsidRPr="00E635A2">
        <w:rPr>
          <w:rFonts w:hint="cs"/>
          <w:sz w:val="20"/>
          <w:szCs w:val="20"/>
          <w:rtl/>
        </w:rPr>
        <w:t xml:space="preserve">מספר פנימי: </w:t>
      </w:r>
      <w:bookmarkStart w:name="LGS_Internal_ID" w:id="0"/>
      <w:r>
        <w:rPr>
          <w:rFonts w:hint="cs"/>
          <w:sz w:val="20"/>
          <w:szCs w:val="20"/>
          <w:rtl/>
        </w:rPr>
        <w:t>2156293</w:t>
      </w:r>
      <w:bookmarkEnd w:id="0"/>
    </w:p>
    <w:p w:rsidRPr="00DB7060" w:rsidR="00E13C27" w:rsidP="00A443CF" w:rsidRDefault="00E13C27" w14:paraId="7F6961A2" w14:textId="53D639AE">
      <w:pPr>
        <w:pStyle w:val="HeadHatzaotHok"/>
        <w:rPr>
          <w:sz w:val="28"/>
          <w:szCs w:val="28"/>
          <w:rtl/>
        </w:rPr>
      </w:pPr>
      <w:r w:rsidRPr="00DB7060">
        <w:rPr>
          <w:rFonts w:hint="cs"/>
          <w:sz w:val="28"/>
          <w:szCs w:val="28"/>
          <w:rtl/>
        </w:rPr>
        <w:t xml:space="preserve">הכנסת </w:t>
      </w:r>
      <w:bookmarkStart w:name="LGS_Knesset_Num" w:id="1"/>
      <w:r>
        <w:rPr>
          <w:rFonts w:hint="cs"/>
          <w:sz w:val="28"/>
          <w:szCs w:val="28"/>
          <w:rtl/>
        </w:rPr>
        <w:t>העשרים וארבע</w:t>
      </w:r>
      <w:bookmarkEnd w:id="1"/>
    </w:p>
    <w:p w:rsidRPr="00F67051" w:rsidR="00E13C27" w:rsidP="00E13C27" w:rsidRDefault="00E13C27" w14:paraId="7F6961A3" w14:textId="77777777">
      <w:pPr>
        <w:rPr>
          <w:b/>
          <w:bCs/>
          <w:sz w:val="26"/>
          <w:szCs w:val="26"/>
          <w:rtl/>
        </w:rPr>
      </w:pPr>
    </w:p>
    <w:p w:rsidR="00E13C27" w:rsidP="00930EFE" w:rsidRDefault="008F6665" w14:paraId="7F6961A6" w14:textId="77777777">
      <w:pPr>
        <w:pStyle w:val="David"/>
        <w:ind w:left="3544"/>
        <w:rPr>
          <w:b/>
          <w:bCs/>
          <w:rtl/>
        </w:rPr>
      </w:pPr>
      <w:bookmarkStart w:name="LGS_Initiators_List" w:id="2"/>
      <w:r>
        <w:rPr>
          <w:b/>
          <w:bCs/>
          <w:rtl/>
        </w:rPr>
        <w:t>יוזמים:      חברי הכנסת</w:t>
      </w:r>
      <w:bookmarkEnd w:id="2"/>
      <w:r w:rsidRPr="00F67051" w:rsidR="00B35784">
        <w:rPr>
          <w:b/>
          <w:bCs/>
        </w:rPr>
        <w:tab/>
      </w:r>
      <w:bookmarkStart w:name="LGS_PM_Names" w:id="3"/>
      <w:r>
        <w:rPr>
          <w:rFonts w:hint="cs"/>
          <w:b/>
          <w:bCs/>
          <w:rtl/>
        </w:rPr>
        <w:t>משה ארבל</w:t>
      </w:r>
      <w:r>
        <w:br/>
      </w:r>
      <w:r>
        <w:rPr>
          <w:rFonts w:hint="cs"/>
          <w:b/>
          <w:bCs/>
          <w:rtl/>
        </w:rPr>
        <w:t xml:space="preserve"> </w:t>
      </w:r>
      <w:r>
        <w:tab/>
      </w:r>
      <w:r>
        <w:tab/>
      </w:r>
      <w:r>
        <w:tab/>
      </w:r>
      <w:r>
        <w:tab/>
      </w:r>
      <w:r>
        <w:rPr>
          <w:rFonts w:hint="cs"/>
          <w:b/>
          <w:bCs/>
          <w:rtl/>
        </w:rPr>
        <w:t>ינון אזולאי</w:t>
      </w:r>
      <w:bookmarkEnd w:id="3"/>
    </w:p>
    <w:p w:rsidRPr="00CF1AA2" w:rsidR="00E13C27" w:rsidP="0036422C" w:rsidRDefault="007D585A" w14:paraId="7F6961AA" w14:textId="39F9D96B">
      <w:pPr>
        <w:pStyle w:val="David"/>
        <w:ind w:left="3544"/>
        <w:rPr>
          <w:b/>
          <w:bCs/>
          <w:sz w:val="16"/>
          <w:szCs w:val="16"/>
          <w:rtl/>
        </w:rPr>
      </w:pPr>
      <w:bookmarkStart w:name="LGS_Join_List" w:id="4"/>
      <w:r>
        <w:rPr>
          <w:rtl/>
        </w:rPr>
        <w:t xml:space="preserve"> </w:t>
      </w:r>
      <w:bookmarkEnd w:id="4"/>
      <w:r w:rsidRPr="00CF1AA2" w:rsidR="002200A1">
        <w:rPr>
          <w:rFonts w:hint="cs"/>
          <w:rtl/>
        </w:rPr>
        <w:tab/>
      </w:r>
      <w:bookmarkStart w:name="LGS_PM_NamesJoin" w:id="5"/>
      <w:r>
        <w:rPr>
          <w:rFonts w:hint="cs"/>
          <w:rtl/>
        </w:rPr>
        <w:t xml:space="preserve"> </w:t>
      </w:r>
      <w:bookmarkEnd w:id="5"/>
    </w:p>
    <w:p w:rsidRPr="00904591" w:rsidR="00904591" w:rsidP="0036422C" w:rsidRDefault="00266D86" w14:paraId="34DB4103" w14:textId="77777777">
      <w:pPr>
        <w:pStyle w:val="David"/>
        <w:ind w:left="3544"/>
        <w:rPr>
          <w:sz w:val="4"/>
          <w:szCs w:val="4"/>
          <w:rtl/>
        </w:rPr>
      </w:pPr>
      <w:r>
        <w:t>____</w:t>
      </w:r>
      <w:r w:rsidR="00E374F2">
        <w:t>__</w:t>
      </w:r>
      <w:r>
        <w:t>________________________________________</w:t>
      </w:r>
      <w:r w:rsidRPr="00E06736" w:rsidR="00E06736">
        <w:tab/>
      </w:r>
      <w:r w:rsidRPr="00E06736" w:rsidR="00E13C27">
        <w:rPr>
          <w:rFonts w:hint="cs"/>
          <w:rtl/>
        </w:rPr>
        <w:tab/>
      </w:r>
      <w:r w:rsidRPr="00E06736" w:rsidR="00E13C27">
        <w:rPr>
          <w:rFonts w:hint="cs"/>
          <w:rtl/>
        </w:rPr>
        <w:tab/>
      </w:r>
      <w:r w:rsidRPr="00E06736" w:rsidR="00E13C27">
        <w:rPr>
          <w:rFonts w:hint="cs"/>
          <w:rtl/>
        </w:rPr>
        <w:tab/>
      </w:r>
      <w:r w:rsidR="00904591">
        <w:t xml:space="preserve">           </w:t>
      </w:r>
    </w:p>
    <w:p w:rsidRPr="00E06736" w:rsidR="00E13C27" w:rsidP="00CC5FB1" w:rsidRDefault="00CC5FB1" w14:paraId="7F6961AB" w14:textId="19028C81">
      <w:pPr>
        <w:pStyle w:val="David"/>
        <w:spacing w:line="240" w:lineRule="auto"/>
        <w:ind w:left="6424" w:firstLine="56"/>
        <w:rPr>
          <w:rtl/>
        </w:rPr>
      </w:pPr>
      <w:r>
        <w:rPr>
          <w:rFonts w:hint="cs"/>
          <w:rtl/>
        </w:rPr>
        <w:t>פ/81/24</w:t>
      </w:r>
    </w:p>
    <w:p w:rsidR="00E13C27" w:rsidP="00E13C27" w:rsidRDefault="00E13C27" w14:paraId="7F6961AC" w14:textId="77777777">
      <w:pPr>
        <w:ind w:left="2880" w:firstLine="720"/>
        <w:rPr>
          <w:sz w:val="26"/>
          <w:szCs w:val="26"/>
          <w:rtl/>
        </w:rPr>
      </w:pPr>
    </w:p>
    <w:p w:rsidR="00E13C27" w:rsidP="00CC5FB1" w:rsidRDefault="00A443CF" w14:paraId="7F6961AE" w14:textId="11D4F20E">
      <w:pPr>
        <w:pStyle w:val="HeadHatzaotHok"/>
        <w:rPr>
          <w:rtl/>
        </w:rPr>
      </w:pPr>
      <w:bookmarkStart w:name="LGS_Subject" w:id="6"/>
      <w:r>
        <w:rPr>
          <w:rFonts w:hint="cs"/>
          <w:rtl/>
        </w:rPr>
        <w:t>הצעת חוק כבילת עצורים ואסירים שלא כדין – עוולה אזרחית (תיקוני חקיקה), התשפ"א–2021</w:t>
      </w:r>
      <w:bookmarkEnd w:id="6"/>
    </w:p>
    <w:p w:rsidR="00656514" w:rsidP="00656514" w:rsidRDefault="00656514" w14:paraId="67760FDC" w14:textId="77777777">
      <w:pPr>
        <w:pStyle w:val="HeadDivreiHesber"/>
        <w:spacing w:before="0" w:after="0"/>
        <w:rPr>
          <w:rtl/>
        </w:rPr>
      </w:pPr>
    </w:p>
    <w:tbl>
      <w:tblPr>
        <w:bidiVisual/>
        <w:tblW w:w="9638" w:type="dxa"/>
        <w:tblLayout w:type="fixed"/>
        <w:tblCellMar>
          <w:top w:w="57" w:type="dxa"/>
          <w:left w:w="0" w:type="dxa"/>
          <w:bottom w:w="57" w:type="dxa"/>
          <w:right w:w="0" w:type="dxa"/>
        </w:tblCellMar>
        <w:tblLook w:val="04A0" w:firstRow="1" w:lastRow="0" w:firstColumn="1" w:lastColumn="0" w:noHBand="0" w:noVBand="1"/>
      </w:tblPr>
      <w:tblGrid>
        <w:gridCol w:w="1869"/>
        <w:gridCol w:w="624"/>
        <w:gridCol w:w="624"/>
        <w:gridCol w:w="624"/>
        <w:gridCol w:w="624"/>
        <w:gridCol w:w="624"/>
        <w:gridCol w:w="4649"/>
      </w:tblGrid>
      <w:tr w:rsidRPr="00FB2B57" w:rsidR="00656514" w:rsidTr="00E72D70" w14:paraId="75C2096F" w14:textId="77777777">
        <w:trPr>
          <w:cantSplit/>
        </w:trPr>
        <w:tc>
          <w:tcPr>
            <w:tcW w:w="1871" w:type="dxa"/>
            <w:hideMark/>
          </w:tcPr>
          <w:p w:rsidRPr="00397BE0" w:rsidR="00656514" w:rsidP="00207D2F" w:rsidRDefault="00656514" w14:paraId="374B55C5" w14:textId="77777777">
            <w:pPr>
              <w:pStyle w:val="TableSideHeading"/>
            </w:pPr>
            <w:r w:rsidRPr="00397BE0">
              <w:rPr>
                <w:rtl/>
              </w:rPr>
              <w:t xml:space="preserve">תיקון </w:t>
            </w:r>
            <w:r>
              <w:rPr>
                <w:rFonts w:hint="cs"/>
                <w:rtl/>
              </w:rPr>
              <w:t xml:space="preserve">חוק סדר הדין הפלילי (סמכויות אכיפה </w:t>
            </w:r>
            <w:r>
              <w:rPr>
                <w:rtl/>
              </w:rPr>
              <w:t>–</w:t>
            </w:r>
            <w:r>
              <w:rPr>
                <w:rFonts w:hint="cs"/>
                <w:rtl/>
              </w:rPr>
              <w:t xml:space="preserve"> מעצרים)</w:t>
            </w:r>
          </w:p>
        </w:tc>
        <w:tc>
          <w:tcPr>
            <w:tcW w:w="624" w:type="dxa"/>
            <w:hideMark/>
          </w:tcPr>
          <w:p w:rsidRPr="00397BE0" w:rsidR="00656514" w:rsidP="00207D2F" w:rsidRDefault="00656514" w14:paraId="60264127" w14:textId="77777777">
            <w:pPr>
              <w:pStyle w:val="TableText"/>
              <w:jc w:val="both"/>
              <w:rPr>
                <w:rtl/>
              </w:rPr>
            </w:pPr>
            <w:r w:rsidRPr="00397BE0">
              <w:rPr>
                <w:rtl/>
              </w:rPr>
              <w:t>1.</w:t>
            </w:r>
          </w:p>
        </w:tc>
        <w:tc>
          <w:tcPr>
            <w:tcW w:w="7143" w:type="dxa"/>
            <w:gridSpan w:val="5"/>
            <w:hideMark/>
          </w:tcPr>
          <w:p w:rsidRPr="00397BE0" w:rsidR="00656514" w:rsidP="00E2266A" w:rsidRDefault="00656514" w14:paraId="369E6629" w14:textId="77777777">
            <w:pPr>
              <w:pStyle w:val="TableBlock"/>
            </w:pPr>
            <w:r w:rsidRPr="00397BE0">
              <w:rPr>
                <w:rtl/>
              </w:rPr>
              <w:t>בחוק</w:t>
            </w:r>
            <w:r w:rsidRPr="002D1A0A">
              <w:rPr>
                <w:rtl/>
              </w:rPr>
              <w:t xml:space="preserve"> </w:t>
            </w:r>
            <w:r>
              <w:rPr>
                <w:rFonts w:hint="cs"/>
                <w:rtl/>
              </w:rPr>
              <w:t xml:space="preserve">סדר הדין הפלילי (סמכויות אכיפה </w:t>
            </w:r>
            <w:r>
              <w:rPr>
                <w:rtl/>
              </w:rPr>
              <w:t>–</w:t>
            </w:r>
            <w:r>
              <w:rPr>
                <w:rFonts w:hint="cs"/>
                <w:rtl/>
              </w:rPr>
              <w:t xml:space="preserve"> מעצרים)</w:t>
            </w:r>
            <w:r w:rsidRPr="002D1A0A">
              <w:rPr>
                <w:rtl/>
              </w:rPr>
              <w:t xml:space="preserve">, </w:t>
            </w:r>
            <w:r w:rsidRPr="00397BE0">
              <w:rPr>
                <w:rtl/>
              </w:rPr>
              <w:t>הת</w:t>
            </w:r>
            <w:r>
              <w:rPr>
                <w:rFonts w:hint="cs"/>
                <w:rtl/>
              </w:rPr>
              <w:t>שנ"ו</w:t>
            </w:r>
            <w:r w:rsidRPr="002D1A0A">
              <w:rPr>
                <w:rtl/>
              </w:rPr>
              <w:t>–</w:t>
            </w:r>
            <w:r>
              <w:rPr>
                <w:rFonts w:hint="cs"/>
                <w:rtl/>
              </w:rPr>
              <w:t>1996</w:t>
            </w:r>
            <w:r w:rsidRPr="00E2266A">
              <w:rPr>
                <w:rFonts w:ascii="David" w:hAnsi="David"/>
                <w:sz w:val="26"/>
                <w:vertAlign w:val="superscript"/>
                <w:rtl/>
              </w:rPr>
              <w:footnoteReference w:id="2"/>
            </w:r>
            <w:r w:rsidRPr="002D1A0A">
              <w:rPr>
                <w:vertAlign w:val="superscript"/>
                <w:rtl/>
              </w:rPr>
              <w:t xml:space="preserve"> </w:t>
            </w:r>
            <w:r>
              <w:rPr>
                <w:rFonts w:hint="eastAsia"/>
                <w:rtl/>
              </w:rPr>
              <w:t>–</w:t>
            </w:r>
          </w:p>
        </w:tc>
      </w:tr>
      <w:tr w:rsidRPr="00FB2B57" w:rsidR="00656514" w:rsidTr="00E72D70" w14:paraId="254827BB" w14:textId="77777777">
        <w:trPr>
          <w:cantSplit/>
        </w:trPr>
        <w:tc>
          <w:tcPr>
            <w:tcW w:w="1871" w:type="dxa"/>
          </w:tcPr>
          <w:p w:rsidRPr="00397BE0" w:rsidR="00656514" w:rsidP="00207D2F" w:rsidRDefault="00656514" w14:paraId="2FF0DFA9" w14:textId="77777777">
            <w:pPr>
              <w:pStyle w:val="TableSideHeading"/>
              <w:rPr>
                <w:rtl/>
              </w:rPr>
            </w:pPr>
          </w:p>
        </w:tc>
        <w:tc>
          <w:tcPr>
            <w:tcW w:w="624" w:type="dxa"/>
          </w:tcPr>
          <w:p w:rsidRPr="00397BE0" w:rsidR="00656514" w:rsidP="00207D2F" w:rsidRDefault="00656514" w14:paraId="46C12572" w14:textId="77777777">
            <w:pPr>
              <w:pStyle w:val="TableText"/>
              <w:jc w:val="both"/>
              <w:rPr>
                <w:rtl/>
              </w:rPr>
            </w:pPr>
          </w:p>
        </w:tc>
        <w:tc>
          <w:tcPr>
            <w:tcW w:w="7143" w:type="dxa"/>
            <w:gridSpan w:val="5"/>
          </w:tcPr>
          <w:p w:rsidRPr="00543909" w:rsidR="00656514" w:rsidP="00E2266A" w:rsidRDefault="00656514" w14:paraId="7AC65217" w14:textId="77777777">
            <w:pPr>
              <w:pStyle w:val="TableBlock"/>
            </w:pPr>
            <w:r>
              <w:rPr>
                <w:rFonts w:hint="cs"/>
                <w:rtl/>
              </w:rPr>
              <w:t>(1)</w:t>
            </w:r>
            <w:r>
              <w:rPr>
                <w:rtl/>
              </w:rPr>
              <w:tab/>
            </w:r>
            <w:r>
              <w:rPr>
                <w:rFonts w:hint="cs"/>
                <w:rtl/>
              </w:rPr>
              <w:t>בסעיף 9א</w:t>
            </w:r>
            <w:r w:rsidRPr="002E4EE0">
              <w:rPr>
                <w:rtl/>
              </w:rPr>
              <w:t xml:space="preserve">(4) במקום "שופט רשאי להורות על שחרור עצור מכבילה כשהעצור שוהה באולם בית המשפט" יבוא "עצור לא יהיה כבול באולם בית המשפט, במהלך דיון משפטי, אלא אם כן סבר שוטר שבנסיבות העניין קיים חשש כאמור </w:t>
            </w:r>
            <w:r>
              <w:rPr>
                <w:rFonts w:hint="cs"/>
                <w:rtl/>
              </w:rPr>
              <w:t>ב</w:t>
            </w:r>
            <w:r w:rsidRPr="002E4EE0">
              <w:rPr>
                <w:rtl/>
              </w:rPr>
              <w:t>פסקה (1) והודיע על כך לשופט</w:t>
            </w:r>
            <w:r>
              <w:rPr>
                <w:rFonts w:hint="cs"/>
                <w:rtl/>
              </w:rPr>
              <w:t>;</w:t>
            </w:r>
            <w:r w:rsidRPr="002E4EE0">
              <w:rPr>
                <w:rtl/>
              </w:rPr>
              <w:t xml:space="preserve"> </w:t>
            </w:r>
            <w:r>
              <w:rPr>
                <w:rFonts w:hint="cs"/>
                <w:rtl/>
              </w:rPr>
              <w:t xml:space="preserve">הודיע שוטר כאמור – </w:t>
            </w:r>
            <w:r w:rsidRPr="002E4EE0">
              <w:rPr>
                <w:rtl/>
              </w:rPr>
              <w:t xml:space="preserve">רשאי </w:t>
            </w:r>
            <w:r>
              <w:rPr>
                <w:rFonts w:hint="cs"/>
                <w:rtl/>
              </w:rPr>
              <w:t xml:space="preserve">השופט </w:t>
            </w:r>
            <w:r w:rsidRPr="002E4EE0">
              <w:rPr>
                <w:rtl/>
              </w:rPr>
              <w:t>להורות על שחרור העצור מכבילה</w:t>
            </w:r>
            <w:r>
              <w:rPr>
                <w:rFonts w:hint="cs"/>
                <w:rtl/>
              </w:rPr>
              <w:t>.</w:t>
            </w:r>
            <w:r w:rsidRPr="002E4EE0">
              <w:rPr>
                <w:rtl/>
              </w:rPr>
              <w:t>"</w:t>
            </w:r>
            <w:r>
              <w:rPr>
                <w:rFonts w:hint="cs"/>
                <w:rtl/>
              </w:rPr>
              <w:t>;</w:t>
            </w:r>
          </w:p>
        </w:tc>
      </w:tr>
      <w:tr w:rsidRPr="00FB2B57" w:rsidR="00656514" w:rsidTr="00E72D70" w14:paraId="32ADB811" w14:textId="77777777">
        <w:trPr>
          <w:cantSplit/>
        </w:trPr>
        <w:tc>
          <w:tcPr>
            <w:tcW w:w="1871" w:type="dxa"/>
          </w:tcPr>
          <w:p w:rsidRPr="00397BE0" w:rsidR="00656514" w:rsidP="00207D2F" w:rsidRDefault="00656514" w14:paraId="5C28EFA6" w14:textId="77777777">
            <w:pPr>
              <w:pStyle w:val="TableSideHeading"/>
              <w:rPr>
                <w:rtl/>
              </w:rPr>
            </w:pPr>
          </w:p>
        </w:tc>
        <w:tc>
          <w:tcPr>
            <w:tcW w:w="624" w:type="dxa"/>
          </w:tcPr>
          <w:p w:rsidRPr="00397BE0" w:rsidR="00656514" w:rsidP="00207D2F" w:rsidRDefault="00656514" w14:paraId="297E8E6B" w14:textId="77777777">
            <w:pPr>
              <w:pStyle w:val="TableText"/>
              <w:rPr>
                <w:rtl/>
              </w:rPr>
            </w:pPr>
          </w:p>
        </w:tc>
        <w:tc>
          <w:tcPr>
            <w:tcW w:w="7143" w:type="dxa"/>
            <w:gridSpan w:val="5"/>
          </w:tcPr>
          <w:p w:rsidRPr="00397BE0" w:rsidR="00656514" w:rsidP="00E2266A" w:rsidRDefault="00656514" w14:paraId="772A73E9" w14:textId="77777777">
            <w:pPr>
              <w:pStyle w:val="TableBlock"/>
              <w:rPr>
                <w:rtl/>
              </w:rPr>
            </w:pPr>
            <w:r>
              <w:rPr>
                <w:rFonts w:hint="cs"/>
                <w:rtl/>
              </w:rPr>
              <w:t>(2)</w:t>
            </w:r>
            <w:r>
              <w:rPr>
                <w:rtl/>
              </w:rPr>
              <w:tab/>
            </w:r>
            <w:r w:rsidRPr="00397BE0">
              <w:rPr>
                <w:rtl/>
              </w:rPr>
              <w:t>אחרי</w:t>
            </w:r>
            <w:r w:rsidRPr="002D1A0A">
              <w:rPr>
                <w:rtl/>
              </w:rPr>
              <w:t xml:space="preserve"> </w:t>
            </w:r>
            <w:r w:rsidRPr="00397BE0">
              <w:rPr>
                <w:rtl/>
              </w:rPr>
              <w:t>סעיף</w:t>
            </w:r>
            <w:r w:rsidRPr="002D1A0A">
              <w:rPr>
                <w:rtl/>
              </w:rPr>
              <w:t xml:space="preserve"> </w:t>
            </w:r>
            <w:r>
              <w:rPr>
                <w:rFonts w:hint="cs"/>
                <w:rtl/>
              </w:rPr>
              <w:t>9א</w:t>
            </w:r>
            <w:r w:rsidRPr="002D1A0A">
              <w:rPr>
                <w:rtl/>
              </w:rPr>
              <w:t xml:space="preserve"> </w:t>
            </w:r>
            <w:r w:rsidRPr="00397BE0">
              <w:rPr>
                <w:rtl/>
              </w:rPr>
              <w:t>יבוא:</w:t>
            </w:r>
          </w:p>
        </w:tc>
      </w:tr>
      <w:tr w:rsidR="00656514" w:rsidTr="00E72D70" w14:paraId="098D8913" w14:textId="77777777">
        <w:tblPrEx>
          <w:tblLook w:val="01E0" w:firstRow="1" w:lastRow="1" w:firstColumn="1" w:lastColumn="1" w:noHBand="0" w:noVBand="0"/>
        </w:tblPrEx>
        <w:trPr>
          <w:cantSplit/>
        </w:trPr>
        <w:tc>
          <w:tcPr>
            <w:tcW w:w="1871" w:type="dxa"/>
          </w:tcPr>
          <w:p w:rsidR="00656514" w:rsidP="00207D2F" w:rsidRDefault="00656514" w14:paraId="4D7B38EB" w14:textId="77777777">
            <w:pPr>
              <w:pStyle w:val="TableSideHeading"/>
              <w:keepLines w:val="0"/>
            </w:pPr>
            <w:bookmarkStart w:name="_Hlk45469659" w:id="7"/>
          </w:p>
        </w:tc>
        <w:tc>
          <w:tcPr>
            <w:tcW w:w="624" w:type="dxa"/>
          </w:tcPr>
          <w:p w:rsidR="00656514" w:rsidP="00207D2F" w:rsidRDefault="00656514" w14:paraId="0B4379EC" w14:textId="77777777">
            <w:pPr>
              <w:pStyle w:val="TableText"/>
              <w:keepLines w:val="0"/>
            </w:pPr>
          </w:p>
        </w:tc>
        <w:tc>
          <w:tcPr>
            <w:tcW w:w="1872" w:type="dxa"/>
            <w:gridSpan w:val="3"/>
          </w:tcPr>
          <w:p w:rsidRPr="004B29BA" w:rsidR="00656514" w:rsidP="00207D2F" w:rsidRDefault="00656514" w14:paraId="36A91173" w14:textId="77777777">
            <w:pPr>
              <w:pStyle w:val="TableInnerSideHeading"/>
              <w:rPr>
                <w:rtl/>
              </w:rPr>
            </w:pPr>
            <w:r w:rsidRPr="004B29BA">
              <w:rPr>
                <w:rtl/>
              </w:rPr>
              <w:t>"</w:t>
            </w:r>
            <w:r>
              <w:rPr>
                <w:rFonts w:hint="cs"/>
                <w:rtl/>
              </w:rPr>
              <w:t xml:space="preserve">כבילת עצור במקום ציבורי שלא כדין </w:t>
            </w:r>
            <w:r>
              <w:rPr>
                <w:rtl/>
              </w:rPr>
              <w:t>–</w:t>
            </w:r>
            <w:r>
              <w:rPr>
                <w:rFonts w:hint="cs"/>
                <w:rtl/>
              </w:rPr>
              <w:t xml:space="preserve"> עוולה אזרחית</w:t>
            </w:r>
          </w:p>
        </w:tc>
        <w:tc>
          <w:tcPr>
            <w:tcW w:w="624" w:type="dxa"/>
          </w:tcPr>
          <w:p w:rsidRPr="00397BE0" w:rsidR="00656514" w:rsidP="00207D2F" w:rsidRDefault="00656514" w14:paraId="0F0F43E5" w14:textId="77777777">
            <w:pPr>
              <w:pStyle w:val="TableText"/>
              <w:rPr>
                <w:rtl/>
              </w:rPr>
            </w:pPr>
            <w:r>
              <w:rPr>
                <w:rFonts w:hint="cs"/>
                <w:rtl/>
              </w:rPr>
              <w:t>9ב.</w:t>
            </w:r>
          </w:p>
        </w:tc>
        <w:tc>
          <w:tcPr>
            <w:tcW w:w="4647" w:type="dxa"/>
          </w:tcPr>
          <w:p w:rsidRPr="00397BE0" w:rsidR="00656514" w:rsidP="00E2266A" w:rsidRDefault="00656514" w14:paraId="57AC56DF" w14:textId="77777777">
            <w:pPr>
              <w:pStyle w:val="TableBlock"/>
              <w:rPr>
                <w:rtl/>
              </w:rPr>
            </w:pPr>
            <w:r>
              <w:rPr>
                <w:rFonts w:hint="cs"/>
                <w:rtl/>
              </w:rPr>
              <w:t>(א)</w:t>
            </w:r>
            <w:r>
              <w:rPr>
                <w:rtl/>
              </w:rPr>
              <w:tab/>
            </w:r>
            <w:r>
              <w:rPr>
                <w:rFonts w:hint="cs"/>
                <w:sz w:val="26"/>
                <w:rtl/>
              </w:rPr>
              <w:t>הפרת הוראה מהוראות סעיף 9א היא עוולה אזרחית, והוראות פקודת הנזיקין [נוסח חדש], יחולו עליהם, בכפוף להוראות חוק זה</w:t>
            </w:r>
            <w:r>
              <w:rPr>
                <w:rFonts w:hint="cs"/>
                <w:rtl/>
              </w:rPr>
              <w:t>.</w:t>
            </w:r>
          </w:p>
        </w:tc>
      </w:tr>
      <w:tr w:rsidR="00656514" w:rsidTr="00E72D70" w14:paraId="13703791" w14:textId="77777777">
        <w:tblPrEx>
          <w:tblLook w:val="01E0" w:firstRow="1" w:lastRow="1" w:firstColumn="1" w:lastColumn="1" w:noHBand="0" w:noVBand="0"/>
        </w:tblPrEx>
        <w:trPr>
          <w:cantSplit/>
        </w:trPr>
        <w:tc>
          <w:tcPr>
            <w:tcW w:w="1871" w:type="dxa"/>
          </w:tcPr>
          <w:p w:rsidR="00656514" w:rsidP="00207D2F" w:rsidRDefault="00656514" w14:paraId="15D04C23" w14:textId="77777777">
            <w:pPr>
              <w:pStyle w:val="TableSideHeading"/>
              <w:keepLines w:val="0"/>
            </w:pPr>
          </w:p>
        </w:tc>
        <w:tc>
          <w:tcPr>
            <w:tcW w:w="624" w:type="dxa"/>
          </w:tcPr>
          <w:p w:rsidR="00656514" w:rsidP="00207D2F" w:rsidRDefault="00656514" w14:paraId="730590F6" w14:textId="77777777">
            <w:pPr>
              <w:pStyle w:val="TableText"/>
              <w:keepLines w:val="0"/>
            </w:pPr>
          </w:p>
        </w:tc>
        <w:tc>
          <w:tcPr>
            <w:tcW w:w="1872" w:type="dxa"/>
            <w:gridSpan w:val="3"/>
          </w:tcPr>
          <w:p w:rsidRPr="004B29BA" w:rsidR="00656514" w:rsidP="00207D2F" w:rsidRDefault="00656514" w14:paraId="37971AB0" w14:textId="77777777">
            <w:pPr>
              <w:pStyle w:val="TableInnerSideHeading"/>
              <w:rPr>
                <w:rtl/>
              </w:rPr>
            </w:pPr>
          </w:p>
        </w:tc>
        <w:tc>
          <w:tcPr>
            <w:tcW w:w="624" w:type="dxa"/>
          </w:tcPr>
          <w:p w:rsidRPr="00397BE0" w:rsidR="00656514" w:rsidP="00207D2F" w:rsidRDefault="00656514" w14:paraId="3AE7AC60" w14:textId="77777777">
            <w:pPr>
              <w:pStyle w:val="TableText"/>
              <w:rPr>
                <w:rtl/>
              </w:rPr>
            </w:pPr>
          </w:p>
        </w:tc>
        <w:tc>
          <w:tcPr>
            <w:tcW w:w="4647" w:type="dxa"/>
          </w:tcPr>
          <w:p w:rsidRPr="00397BE0" w:rsidR="00656514" w:rsidP="00CC5FB1" w:rsidRDefault="00656514" w14:paraId="26FB581E" w14:textId="156286AE">
            <w:pPr>
              <w:pStyle w:val="TableBlock"/>
              <w:rPr>
                <w:rtl/>
              </w:rPr>
            </w:pPr>
            <w:r>
              <w:rPr>
                <w:rFonts w:hint="cs"/>
                <w:rtl/>
              </w:rPr>
              <w:t>(ב)</w:t>
            </w:r>
            <w:r>
              <w:rPr>
                <w:rtl/>
              </w:rPr>
              <w:tab/>
            </w:r>
            <w:r>
              <w:rPr>
                <w:rFonts w:hint="cs"/>
                <w:rtl/>
              </w:rPr>
              <w:t>בית משפט רשאי לפסוק בשל עוולה לפי סעיף</w:t>
            </w:r>
            <w:r w:rsidR="00CC5FB1">
              <w:rPr>
                <w:rFonts w:hint="cs"/>
                <w:rtl/>
              </w:rPr>
              <w:t xml:space="preserve"> זה פיצוי שלא יעלה על 50,000 שקלים חדשים</w:t>
            </w:r>
            <w:bookmarkStart w:name="_GoBack" w:id="8"/>
            <w:bookmarkEnd w:id="8"/>
            <w:r>
              <w:rPr>
                <w:rFonts w:hint="cs"/>
                <w:rtl/>
              </w:rPr>
              <w:t xml:space="preserve">, בלא הוכחת נזק; </w:t>
            </w:r>
            <w:r w:rsidRPr="00052B81">
              <w:rPr>
                <w:rtl/>
              </w:rPr>
              <w:t>סכום זה יעודכן ב-16 בכל חודש, בהתאם לשיעור שינוי המדד החדש לעומת המדד הבסיסי; לענ</w:t>
            </w:r>
            <w:r w:rsidR="00CC5FB1">
              <w:rPr>
                <w:rFonts w:hint="cs"/>
                <w:rtl/>
              </w:rPr>
              <w:t>י</w:t>
            </w:r>
            <w:r w:rsidRPr="00052B81">
              <w:rPr>
                <w:rtl/>
              </w:rPr>
              <w:t>ין סעיף קטן זה –</w:t>
            </w:r>
            <w:r w:rsidR="00CC5FB1">
              <w:rPr>
                <w:rtl/>
              </w:rPr>
              <w:t> </w:t>
            </w:r>
            <w:r w:rsidRPr="00052B81">
              <w:rPr>
                <w:rtl/>
              </w:rPr>
              <w:t> </w:t>
            </w:r>
          </w:p>
        </w:tc>
      </w:tr>
      <w:bookmarkEnd w:id="7"/>
      <w:tr w:rsidR="00CC5FB1" w14:paraId="1282B136" w14:textId="77777777">
        <w:tblPrEx>
          <w:tblLook w:val="01E0" w:firstRow="1" w:lastRow="1" w:firstColumn="1" w:lastColumn="1" w:noHBand="0" w:noVBand="0"/>
        </w:tblPrEx>
        <w:trPr>
          <w:cantSplit/>
          <w:trHeight w:val="60"/>
        </w:trPr>
        <w:tc>
          <w:tcPr>
            <w:tcW w:w="1871" w:type="dxa"/>
          </w:tcPr>
          <w:p w:rsidR="00CC5FB1" w:rsidRDefault="00CC5FB1" w14:paraId="12B0FF04" w14:textId="77777777">
            <w:pPr>
              <w:pStyle w:val="TableSideHeading"/>
            </w:pPr>
          </w:p>
        </w:tc>
        <w:tc>
          <w:tcPr>
            <w:tcW w:w="624" w:type="dxa"/>
          </w:tcPr>
          <w:p w:rsidR="00CC5FB1" w:rsidRDefault="00CC5FB1" w14:paraId="2B33FCE5" w14:textId="77777777">
            <w:pPr>
              <w:pStyle w:val="TableText"/>
            </w:pPr>
          </w:p>
        </w:tc>
        <w:tc>
          <w:tcPr>
            <w:tcW w:w="624" w:type="dxa"/>
          </w:tcPr>
          <w:p w:rsidR="00CC5FB1" w:rsidRDefault="00CC5FB1" w14:paraId="047998C3" w14:textId="77777777">
            <w:pPr>
              <w:pStyle w:val="TableText"/>
            </w:pPr>
          </w:p>
        </w:tc>
        <w:tc>
          <w:tcPr>
            <w:tcW w:w="624" w:type="dxa"/>
          </w:tcPr>
          <w:p w:rsidR="00CC5FB1" w:rsidRDefault="00CC5FB1" w14:paraId="47E633D3" w14:textId="77777777">
            <w:pPr>
              <w:pStyle w:val="TableText"/>
            </w:pPr>
          </w:p>
        </w:tc>
        <w:tc>
          <w:tcPr>
            <w:tcW w:w="624" w:type="dxa"/>
          </w:tcPr>
          <w:p w:rsidR="00CC5FB1" w:rsidRDefault="00CC5FB1" w14:paraId="655F0E53" w14:textId="77777777">
            <w:pPr>
              <w:pStyle w:val="TableText"/>
            </w:pPr>
          </w:p>
        </w:tc>
        <w:tc>
          <w:tcPr>
            <w:tcW w:w="624" w:type="dxa"/>
          </w:tcPr>
          <w:p w:rsidR="00CC5FB1" w:rsidRDefault="00CC5FB1" w14:paraId="0AB57CD8" w14:textId="77777777">
            <w:pPr>
              <w:pStyle w:val="TableText"/>
            </w:pPr>
          </w:p>
        </w:tc>
        <w:tc>
          <w:tcPr>
            <w:tcW w:w="4650" w:type="dxa"/>
          </w:tcPr>
          <w:p w:rsidR="00CC5FB1" w:rsidRDefault="00CC5FB1" w14:paraId="6F831327" w14:textId="556C9EBD">
            <w:pPr>
              <w:pStyle w:val="TableBlock"/>
            </w:pPr>
            <w:r w:rsidRPr="00052B81">
              <w:rPr>
                <w:rtl/>
              </w:rPr>
              <w:t>"מדד" – מדד המחירים לצרכן שמפרסמת הלשכה המרכזית לסטטיסטיקה;</w:t>
            </w:r>
          </w:p>
        </w:tc>
      </w:tr>
      <w:tr w:rsidR="00CC5FB1" w14:paraId="7A34F9B6" w14:textId="77777777">
        <w:tblPrEx>
          <w:tblLook w:val="01E0" w:firstRow="1" w:lastRow="1" w:firstColumn="1" w:lastColumn="1" w:noHBand="0" w:noVBand="0"/>
        </w:tblPrEx>
        <w:trPr>
          <w:cantSplit/>
          <w:trHeight w:val="60"/>
        </w:trPr>
        <w:tc>
          <w:tcPr>
            <w:tcW w:w="1871" w:type="dxa"/>
          </w:tcPr>
          <w:p w:rsidR="00CC5FB1" w:rsidRDefault="00CC5FB1" w14:paraId="76C2AFF5" w14:textId="77777777">
            <w:pPr>
              <w:pStyle w:val="TableSideHeading"/>
            </w:pPr>
          </w:p>
        </w:tc>
        <w:tc>
          <w:tcPr>
            <w:tcW w:w="624" w:type="dxa"/>
          </w:tcPr>
          <w:p w:rsidR="00CC5FB1" w:rsidP="00CC5FB1" w:rsidRDefault="00CC5FB1" w14:paraId="25E5451D" w14:textId="77777777">
            <w:pPr>
              <w:pStyle w:val="TableText"/>
            </w:pPr>
          </w:p>
        </w:tc>
        <w:tc>
          <w:tcPr>
            <w:tcW w:w="624" w:type="dxa"/>
          </w:tcPr>
          <w:p w:rsidR="00CC5FB1" w:rsidRDefault="00CC5FB1" w14:paraId="67992DCB" w14:textId="77777777">
            <w:pPr>
              <w:pStyle w:val="TableText"/>
            </w:pPr>
          </w:p>
        </w:tc>
        <w:tc>
          <w:tcPr>
            <w:tcW w:w="624" w:type="dxa"/>
          </w:tcPr>
          <w:p w:rsidR="00CC5FB1" w:rsidRDefault="00CC5FB1" w14:paraId="7A7EB0CA" w14:textId="77777777">
            <w:pPr>
              <w:pStyle w:val="TableText"/>
            </w:pPr>
          </w:p>
        </w:tc>
        <w:tc>
          <w:tcPr>
            <w:tcW w:w="624" w:type="dxa"/>
          </w:tcPr>
          <w:p w:rsidR="00CC5FB1" w:rsidRDefault="00CC5FB1" w14:paraId="695132BC" w14:textId="77777777">
            <w:pPr>
              <w:pStyle w:val="TableText"/>
            </w:pPr>
          </w:p>
        </w:tc>
        <w:tc>
          <w:tcPr>
            <w:tcW w:w="624" w:type="dxa"/>
          </w:tcPr>
          <w:p w:rsidR="00CC5FB1" w:rsidRDefault="00CC5FB1" w14:paraId="6B145227" w14:textId="77777777">
            <w:pPr>
              <w:pStyle w:val="TableText"/>
            </w:pPr>
          </w:p>
        </w:tc>
        <w:tc>
          <w:tcPr>
            <w:tcW w:w="4650" w:type="dxa"/>
          </w:tcPr>
          <w:p w:rsidR="00CC5FB1" w:rsidRDefault="00CC5FB1" w14:paraId="05A085AD" w14:textId="441B1E91">
            <w:pPr>
              <w:pStyle w:val="TableBlock"/>
            </w:pPr>
            <w:r w:rsidRPr="00052B81">
              <w:rPr>
                <w:rtl/>
              </w:rPr>
              <w:t>"המדד החדש" – מדד החודש שקדם לחודש העדכון;</w:t>
            </w:r>
          </w:p>
        </w:tc>
      </w:tr>
      <w:tr w:rsidR="00CC5FB1" w14:paraId="075354A2" w14:textId="77777777">
        <w:tblPrEx>
          <w:tblLook w:val="01E0" w:firstRow="1" w:lastRow="1" w:firstColumn="1" w:lastColumn="1" w:noHBand="0" w:noVBand="0"/>
        </w:tblPrEx>
        <w:trPr>
          <w:cantSplit/>
          <w:trHeight w:val="60"/>
        </w:trPr>
        <w:tc>
          <w:tcPr>
            <w:tcW w:w="1871" w:type="dxa"/>
          </w:tcPr>
          <w:p w:rsidR="00CC5FB1" w:rsidRDefault="00CC5FB1" w14:paraId="069D9B4B" w14:textId="77777777">
            <w:pPr>
              <w:pStyle w:val="TableSideHeading"/>
            </w:pPr>
          </w:p>
        </w:tc>
        <w:tc>
          <w:tcPr>
            <w:tcW w:w="624" w:type="dxa"/>
          </w:tcPr>
          <w:p w:rsidR="00CC5FB1" w:rsidP="00CC5FB1" w:rsidRDefault="00CC5FB1" w14:paraId="675B414B" w14:textId="77777777">
            <w:pPr>
              <w:pStyle w:val="TableText"/>
            </w:pPr>
          </w:p>
        </w:tc>
        <w:tc>
          <w:tcPr>
            <w:tcW w:w="624" w:type="dxa"/>
          </w:tcPr>
          <w:p w:rsidR="00CC5FB1" w:rsidRDefault="00CC5FB1" w14:paraId="32E4CB2A" w14:textId="77777777">
            <w:pPr>
              <w:pStyle w:val="TableText"/>
            </w:pPr>
          </w:p>
        </w:tc>
        <w:tc>
          <w:tcPr>
            <w:tcW w:w="624" w:type="dxa"/>
          </w:tcPr>
          <w:p w:rsidR="00CC5FB1" w:rsidRDefault="00CC5FB1" w14:paraId="0E52D9D6" w14:textId="77777777">
            <w:pPr>
              <w:pStyle w:val="TableText"/>
            </w:pPr>
          </w:p>
        </w:tc>
        <w:tc>
          <w:tcPr>
            <w:tcW w:w="624" w:type="dxa"/>
          </w:tcPr>
          <w:p w:rsidR="00CC5FB1" w:rsidRDefault="00CC5FB1" w14:paraId="1B7B9679" w14:textId="77777777">
            <w:pPr>
              <w:pStyle w:val="TableText"/>
            </w:pPr>
          </w:p>
        </w:tc>
        <w:tc>
          <w:tcPr>
            <w:tcW w:w="624" w:type="dxa"/>
          </w:tcPr>
          <w:p w:rsidR="00CC5FB1" w:rsidRDefault="00CC5FB1" w14:paraId="6F486E7B" w14:textId="77777777">
            <w:pPr>
              <w:pStyle w:val="TableText"/>
            </w:pPr>
          </w:p>
        </w:tc>
        <w:tc>
          <w:tcPr>
            <w:tcW w:w="4650" w:type="dxa"/>
          </w:tcPr>
          <w:p w:rsidR="00CC5FB1" w:rsidRDefault="00CC5FB1" w14:paraId="48C34C4F" w14:textId="50BDA47B">
            <w:pPr>
              <w:pStyle w:val="TableBlock"/>
            </w:pPr>
            <w:r w:rsidRPr="00052B81">
              <w:rPr>
                <w:rtl/>
              </w:rPr>
              <w:t xml:space="preserve">"המדד הבסיסי" – מדד חודש </w:t>
            </w:r>
            <w:r>
              <w:rPr>
                <w:rFonts w:hint="cs"/>
                <w:rtl/>
              </w:rPr>
              <w:t>אוקטובר 2020</w:t>
            </w:r>
            <w:r w:rsidRPr="00052B81">
              <w:rPr>
                <w:rtl/>
              </w:rPr>
              <w:t>.</w:t>
            </w:r>
            <w:r w:rsidRPr="003A7988">
              <w:rPr>
                <w:rFonts w:hint="cs"/>
                <w:rtl/>
              </w:rPr>
              <w:t>"</w:t>
            </w:r>
          </w:p>
        </w:tc>
      </w:tr>
      <w:tr w:rsidRPr="00FB2B57" w:rsidR="00656514" w:rsidTr="00E72D70" w14:paraId="2A879805" w14:textId="77777777">
        <w:trPr>
          <w:cantSplit/>
        </w:trPr>
        <w:tc>
          <w:tcPr>
            <w:tcW w:w="1871" w:type="dxa"/>
          </w:tcPr>
          <w:p w:rsidRPr="00EF4681" w:rsidR="00656514" w:rsidP="00207D2F" w:rsidRDefault="00656514" w14:paraId="53105FC9" w14:textId="77777777">
            <w:pPr>
              <w:pStyle w:val="TableSideHeading"/>
              <w:rPr>
                <w:rtl/>
              </w:rPr>
            </w:pPr>
            <w:r w:rsidRPr="00EF4681">
              <w:rPr>
                <w:rtl/>
              </w:rPr>
              <w:t xml:space="preserve">תיקון </w:t>
            </w:r>
            <w:r>
              <w:rPr>
                <w:rFonts w:hint="cs"/>
                <w:rtl/>
              </w:rPr>
              <w:t>פקודת בתי הסוהר [נוסח חדש]</w:t>
            </w:r>
          </w:p>
        </w:tc>
        <w:tc>
          <w:tcPr>
            <w:tcW w:w="624" w:type="dxa"/>
          </w:tcPr>
          <w:p w:rsidRPr="00397BE0" w:rsidR="00656514" w:rsidP="00207D2F" w:rsidRDefault="00656514" w14:paraId="36377F02" w14:textId="77777777">
            <w:pPr>
              <w:pStyle w:val="TableText"/>
              <w:rPr>
                <w:rtl/>
              </w:rPr>
            </w:pPr>
            <w:r>
              <w:rPr>
                <w:rFonts w:hint="cs"/>
                <w:rtl/>
              </w:rPr>
              <w:t>2.</w:t>
            </w:r>
            <w:r w:rsidRPr="00397BE0">
              <w:rPr>
                <w:rtl/>
              </w:rPr>
              <w:t xml:space="preserve"> </w:t>
            </w:r>
          </w:p>
        </w:tc>
        <w:tc>
          <w:tcPr>
            <w:tcW w:w="7143" w:type="dxa"/>
            <w:gridSpan w:val="5"/>
          </w:tcPr>
          <w:p w:rsidRPr="008552FE" w:rsidR="00656514" w:rsidP="00E2266A" w:rsidRDefault="00656514" w14:paraId="0A10332A" w14:textId="77777777">
            <w:pPr>
              <w:pStyle w:val="TableBlock"/>
            </w:pPr>
            <w:r>
              <w:rPr>
                <w:rFonts w:hint="cs"/>
                <w:rtl/>
              </w:rPr>
              <w:t>בפקודת בתי הסוהר [נוסח חדש]</w:t>
            </w:r>
            <w:r w:rsidRPr="008552FE">
              <w:rPr>
                <w:rtl/>
              </w:rPr>
              <w:t>, התש</w:t>
            </w:r>
            <w:r>
              <w:rPr>
                <w:rFonts w:hint="cs"/>
                <w:rtl/>
              </w:rPr>
              <w:t>ל</w:t>
            </w:r>
            <w:r w:rsidRPr="008552FE">
              <w:rPr>
                <w:rtl/>
              </w:rPr>
              <w:t>"</w:t>
            </w:r>
            <w:r>
              <w:rPr>
                <w:rFonts w:hint="cs"/>
                <w:rtl/>
              </w:rPr>
              <w:t>ב</w:t>
            </w:r>
            <w:r w:rsidRPr="008552FE">
              <w:rPr>
                <w:rtl/>
              </w:rPr>
              <w:t>–</w:t>
            </w:r>
            <w:r>
              <w:rPr>
                <w:rFonts w:hint="cs"/>
                <w:rtl/>
              </w:rPr>
              <w:t>1971</w:t>
            </w:r>
            <w:r w:rsidRPr="00E72D70">
              <w:rPr>
                <w:rFonts w:ascii="David" w:hAnsi="David"/>
                <w:sz w:val="26"/>
                <w:vertAlign w:val="superscript"/>
                <w:rtl/>
              </w:rPr>
              <w:footnoteReference w:id="3"/>
            </w:r>
            <w:r w:rsidRPr="00EF4681">
              <w:rPr>
                <w:vertAlign w:val="superscript"/>
                <w:rtl/>
              </w:rPr>
              <w:t xml:space="preserve"> </w:t>
            </w:r>
            <w:r w:rsidRPr="008552FE">
              <w:t>–</w:t>
            </w:r>
          </w:p>
        </w:tc>
      </w:tr>
      <w:tr w:rsidRPr="00FB2B57" w:rsidR="00656514" w:rsidTr="00E72D70" w14:paraId="66946737" w14:textId="77777777">
        <w:trPr>
          <w:cantSplit/>
        </w:trPr>
        <w:tc>
          <w:tcPr>
            <w:tcW w:w="1871" w:type="dxa"/>
          </w:tcPr>
          <w:p w:rsidRPr="00EF4681" w:rsidR="00656514" w:rsidP="00207D2F" w:rsidRDefault="00656514" w14:paraId="2EDFAF6A" w14:textId="77777777">
            <w:pPr>
              <w:pStyle w:val="TableSideHeading"/>
              <w:rPr>
                <w:rtl/>
              </w:rPr>
            </w:pPr>
          </w:p>
        </w:tc>
        <w:tc>
          <w:tcPr>
            <w:tcW w:w="624" w:type="dxa"/>
          </w:tcPr>
          <w:p w:rsidRPr="00397BE0" w:rsidR="00656514" w:rsidDel="00DE1C42" w:rsidP="00207D2F" w:rsidRDefault="00656514" w14:paraId="565946CE" w14:textId="77777777">
            <w:pPr>
              <w:pStyle w:val="TableText"/>
              <w:rPr>
                <w:rtl/>
              </w:rPr>
            </w:pPr>
          </w:p>
        </w:tc>
        <w:tc>
          <w:tcPr>
            <w:tcW w:w="7143" w:type="dxa"/>
            <w:gridSpan w:val="5"/>
          </w:tcPr>
          <w:p w:rsidRPr="00397BE0" w:rsidR="00656514" w:rsidP="00E2266A" w:rsidRDefault="00656514" w14:paraId="39FE29BF" w14:textId="77777777">
            <w:pPr>
              <w:pStyle w:val="TableBlock"/>
              <w:rPr>
                <w:rtl/>
              </w:rPr>
            </w:pPr>
            <w:r w:rsidRPr="00397BE0">
              <w:rPr>
                <w:rtl/>
              </w:rPr>
              <w:t>(1)</w:t>
            </w:r>
            <w:r w:rsidRPr="00397BE0">
              <w:rPr>
                <w:rtl/>
              </w:rPr>
              <w:tab/>
            </w:r>
            <w:r w:rsidRPr="00722DC9">
              <w:rPr>
                <w:rtl/>
              </w:rPr>
              <w:t xml:space="preserve">בסעיף </w:t>
            </w:r>
            <w:r>
              <w:rPr>
                <w:rFonts w:hint="cs"/>
                <w:rtl/>
              </w:rPr>
              <w:t>11א</w:t>
            </w:r>
            <w:r w:rsidRPr="00722DC9">
              <w:rPr>
                <w:rtl/>
              </w:rPr>
              <w:t xml:space="preserve">(4) במקום "שופט רשאי להורות על שחרור </w:t>
            </w:r>
            <w:r>
              <w:rPr>
                <w:rFonts w:hint="cs"/>
                <w:rtl/>
              </w:rPr>
              <w:t>אסיר</w:t>
            </w:r>
            <w:r w:rsidRPr="00722DC9">
              <w:rPr>
                <w:rtl/>
              </w:rPr>
              <w:t xml:space="preserve"> מכבילה </w:t>
            </w:r>
            <w:r>
              <w:rPr>
                <w:rFonts w:hint="cs"/>
                <w:rtl/>
              </w:rPr>
              <w:t>כשהאסיר</w:t>
            </w:r>
            <w:r w:rsidRPr="00722DC9">
              <w:rPr>
                <w:rtl/>
              </w:rPr>
              <w:t xml:space="preserve"> שוהה באולם בית המשפט" יבוא "</w:t>
            </w:r>
            <w:r>
              <w:rPr>
                <w:rFonts w:hint="cs"/>
                <w:rtl/>
              </w:rPr>
              <w:t>אסיר</w:t>
            </w:r>
            <w:r w:rsidRPr="00722DC9">
              <w:rPr>
                <w:rtl/>
              </w:rPr>
              <w:t xml:space="preserve"> לא יהיה כבול באולם בית המשפט, במהלך דיון משפטי, אלא אם כן סבר </w:t>
            </w:r>
            <w:r>
              <w:rPr>
                <w:rFonts w:hint="cs"/>
                <w:rtl/>
              </w:rPr>
              <w:t>סוהר</w:t>
            </w:r>
            <w:r w:rsidRPr="00722DC9">
              <w:rPr>
                <w:rtl/>
              </w:rPr>
              <w:t xml:space="preserve"> שבנסיבות העניין קיים חשש כאמור </w:t>
            </w:r>
            <w:r>
              <w:rPr>
                <w:rFonts w:hint="cs"/>
                <w:rtl/>
              </w:rPr>
              <w:t>ב</w:t>
            </w:r>
            <w:r w:rsidRPr="00722DC9">
              <w:rPr>
                <w:rtl/>
              </w:rPr>
              <w:t>פסקה (1) והודיע על כך לשופט</w:t>
            </w:r>
            <w:r>
              <w:rPr>
                <w:rFonts w:hint="cs"/>
                <w:rtl/>
              </w:rPr>
              <w:t>;</w:t>
            </w:r>
            <w:r w:rsidRPr="002E4EE0">
              <w:rPr>
                <w:rtl/>
              </w:rPr>
              <w:t xml:space="preserve"> </w:t>
            </w:r>
            <w:r>
              <w:rPr>
                <w:rFonts w:hint="cs"/>
                <w:rtl/>
              </w:rPr>
              <w:t xml:space="preserve">הודיע שוטר כאמור – </w:t>
            </w:r>
            <w:r w:rsidRPr="002E4EE0">
              <w:rPr>
                <w:rtl/>
              </w:rPr>
              <w:t xml:space="preserve">רשאי </w:t>
            </w:r>
            <w:r>
              <w:rPr>
                <w:rFonts w:hint="cs"/>
                <w:rtl/>
              </w:rPr>
              <w:t>השופט</w:t>
            </w:r>
            <w:r w:rsidRPr="00722DC9">
              <w:rPr>
                <w:rtl/>
              </w:rPr>
              <w:t xml:space="preserve"> להורות על שחרור </w:t>
            </w:r>
            <w:r>
              <w:rPr>
                <w:rFonts w:hint="cs"/>
                <w:rtl/>
              </w:rPr>
              <w:t>האסיר</w:t>
            </w:r>
            <w:r w:rsidRPr="00722DC9">
              <w:rPr>
                <w:rtl/>
              </w:rPr>
              <w:t xml:space="preserve"> מכבילה</w:t>
            </w:r>
            <w:r>
              <w:rPr>
                <w:rFonts w:hint="cs"/>
                <w:rtl/>
              </w:rPr>
              <w:t>";</w:t>
            </w:r>
          </w:p>
        </w:tc>
      </w:tr>
      <w:tr w:rsidRPr="00FB2B57" w:rsidR="00656514" w:rsidTr="00E72D70" w14:paraId="01038655" w14:textId="77777777">
        <w:trPr>
          <w:cantSplit/>
        </w:trPr>
        <w:tc>
          <w:tcPr>
            <w:tcW w:w="1871" w:type="dxa"/>
          </w:tcPr>
          <w:p w:rsidRPr="00EF4681" w:rsidR="00656514" w:rsidP="00207D2F" w:rsidRDefault="00656514" w14:paraId="66489939" w14:textId="77777777">
            <w:pPr>
              <w:pStyle w:val="TableSideHeading"/>
              <w:rPr>
                <w:rtl/>
              </w:rPr>
            </w:pPr>
          </w:p>
        </w:tc>
        <w:tc>
          <w:tcPr>
            <w:tcW w:w="624" w:type="dxa"/>
          </w:tcPr>
          <w:p w:rsidRPr="00397BE0" w:rsidR="00656514" w:rsidP="00207D2F" w:rsidRDefault="00656514" w14:paraId="0A2AFD4C" w14:textId="77777777">
            <w:pPr>
              <w:pStyle w:val="TableText"/>
              <w:rPr>
                <w:rtl/>
              </w:rPr>
            </w:pPr>
          </w:p>
        </w:tc>
        <w:tc>
          <w:tcPr>
            <w:tcW w:w="7143" w:type="dxa"/>
            <w:gridSpan w:val="5"/>
          </w:tcPr>
          <w:p w:rsidRPr="008552FE" w:rsidR="00656514" w:rsidP="00E2266A" w:rsidRDefault="00656514" w14:paraId="2E43FB11" w14:textId="77777777">
            <w:pPr>
              <w:pStyle w:val="TableBlock"/>
              <w:rPr>
                <w:rtl/>
              </w:rPr>
            </w:pPr>
            <w:r w:rsidRPr="008552FE">
              <w:rPr>
                <w:rtl/>
              </w:rPr>
              <w:t>(2)</w:t>
            </w:r>
            <w:r w:rsidRPr="008552FE">
              <w:rPr>
                <w:rtl/>
              </w:rPr>
              <w:tab/>
            </w:r>
            <w:r w:rsidRPr="00397BE0">
              <w:rPr>
                <w:rtl/>
              </w:rPr>
              <w:t>אחרי</w:t>
            </w:r>
            <w:r w:rsidRPr="002D1A0A">
              <w:rPr>
                <w:rtl/>
              </w:rPr>
              <w:t xml:space="preserve"> </w:t>
            </w:r>
            <w:r w:rsidRPr="00397BE0">
              <w:rPr>
                <w:rtl/>
              </w:rPr>
              <w:t>סעיף</w:t>
            </w:r>
            <w:r w:rsidRPr="002D1A0A">
              <w:rPr>
                <w:rtl/>
              </w:rPr>
              <w:t xml:space="preserve"> </w:t>
            </w:r>
            <w:r>
              <w:rPr>
                <w:rFonts w:hint="cs"/>
                <w:rtl/>
              </w:rPr>
              <w:t>11א</w:t>
            </w:r>
            <w:r w:rsidRPr="002D1A0A">
              <w:rPr>
                <w:rtl/>
              </w:rPr>
              <w:t xml:space="preserve"> </w:t>
            </w:r>
            <w:r w:rsidRPr="00397BE0">
              <w:rPr>
                <w:rtl/>
              </w:rPr>
              <w:t>יבוא:</w:t>
            </w:r>
            <w:r w:rsidRPr="008552FE" w:rsidDel="00397BE0">
              <w:t xml:space="preserve"> </w:t>
            </w:r>
            <w:r>
              <w:t xml:space="preserve"> </w:t>
            </w:r>
          </w:p>
        </w:tc>
      </w:tr>
      <w:tr w:rsidRPr="00397BE0" w:rsidR="00656514" w:rsidTr="00E72D70" w14:paraId="0CA546CB" w14:textId="77777777">
        <w:tblPrEx>
          <w:tblLook w:val="01E0" w:firstRow="1" w:lastRow="1" w:firstColumn="1" w:lastColumn="1" w:noHBand="0" w:noVBand="0"/>
        </w:tblPrEx>
        <w:trPr>
          <w:cantSplit/>
        </w:trPr>
        <w:tc>
          <w:tcPr>
            <w:tcW w:w="1871" w:type="dxa"/>
          </w:tcPr>
          <w:p w:rsidR="00656514" w:rsidP="00207D2F" w:rsidRDefault="00656514" w14:paraId="7F452578" w14:textId="77777777">
            <w:pPr>
              <w:pStyle w:val="TableSideHeading"/>
              <w:keepLines w:val="0"/>
            </w:pPr>
          </w:p>
        </w:tc>
        <w:tc>
          <w:tcPr>
            <w:tcW w:w="624" w:type="dxa"/>
          </w:tcPr>
          <w:p w:rsidR="00656514" w:rsidP="00207D2F" w:rsidRDefault="00656514" w14:paraId="1ABB6E73" w14:textId="77777777">
            <w:pPr>
              <w:pStyle w:val="TableText"/>
              <w:keepLines w:val="0"/>
            </w:pPr>
          </w:p>
        </w:tc>
        <w:tc>
          <w:tcPr>
            <w:tcW w:w="1872" w:type="dxa"/>
            <w:gridSpan w:val="3"/>
          </w:tcPr>
          <w:p w:rsidRPr="004B29BA" w:rsidR="00656514" w:rsidP="00207D2F" w:rsidRDefault="00656514" w14:paraId="2388E88D" w14:textId="77777777">
            <w:pPr>
              <w:pStyle w:val="TableInnerSideHeading"/>
              <w:rPr>
                <w:rtl/>
              </w:rPr>
            </w:pPr>
            <w:r w:rsidRPr="004B29BA">
              <w:rPr>
                <w:rtl/>
              </w:rPr>
              <w:t>"</w:t>
            </w:r>
            <w:r>
              <w:rPr>
                <w:rFonts w:hint="cs"/>
                <w:rtl/>
              </w:rPr>
              <w:t xml:space="preserve">כבילת אסיר במקום ציבורי שלא כדין </w:t>
            </w:r>
            <w:r>
              <w:rPr>
                <w:rtl/>
              </w:rPr>
              <w:t>–</w:t>
            </w:r>
            <w:r>
              <w:rPr>
                <w:rFonts w:hint="cs"/>
                <w:rtl/>
              </w:rPr>
              <w:t xml:space="preserve"> עוולה אזרחית</w:t>
            </w:r>
          </w:p>
        </w:tc>
        <w:tc>
          <w:tcPr>
            <w:tcW w:w="624" w:type="dxa"/>
          </w:tcPr>
          <w:p w:rsidRPr="00397BE0" w:rsidR="00656514" w:rsidP="00207D2F" w:rsidRDefault="00656514" w14:paraId="564E3A98" w14:textId="77777777">
            <w:pPr>
              <w:pStyle w:val="TableText"/>
              <w:rPr>
                <w:rtl/>
              </w:rPr>
            </w:pPr>
            <w:r>
              <w:rPr>
                <w:rFonts w:hint="cs"/>
                <w:rtl/>
              </w:rPr>
              <w:t>11א1.</w:t>
            </w:r>
          </w:p>
        </w:tc>
        <w:tc>
          <w:tcPr>
            <w:tcW w:w="4647" w:type="dxa"/>
          </w:tcPr>
          <w:p w:rsidRPr="00397BE0" w:rsidR="00656514" w:rsidP="00E2266A" w:rsidRDefault="00656514" w14:paraId="122ABD1A" w14:textId="77777777">
            <w:pPr>
              <w:pStyle w:val="TableBlock"/>
              <w:rPr>
                <w:rtl/>
              </w:rPr>
            </w:pPr>
            <w:r>
              <w:rPr>
                <w:rFonts w:hint="cs"/>
                <w:rtl/>
              </w:rPr>
              <w:t>(א)</w:t>
            </w:r>
            <w:r>
              <w:rPr>
                <w:rtl/>
              </w:rPr>
              <w:tab/>
            </w:r>
            <w:r>
              <w:rPr>
                <w:rFonts w:hint="cs"/>
                <w:sz w:val="26"/>
                <w:rtl/>
              </w:rPr>
              <w:t>הפרת הוראה מהוראות לסעיף 11א היא עוולה אזרחית, והוראות פקודת הנזיקין [נוסח חדש], יחולו עליהם, בכפוף להוראות חוק זה</w:t>
            </w:r>
            <w:r>
              <w:rPr>
                <w:rFonts w:hint="cs"/>
                <w:rtl/>
              </w:rPr>
              <w:t>.</w:t>
            </w:r>
          </w:p>
        </w:tc>
      </w:tr>
      <w:tr w:rsidRPr="00397BE0" w:rsidR="00656514" w:rsidTr="00E72D70" w14:paraId="3D670268" w14:textId="77777777">
        <w:tblPrEx>
          <w:tblLook w:val="01E0" w:firstRow="1" w:lastRow="1" w:firstColumn="1" w:lastColumn="1" w:noHBand="0" w:noVBand="0"/>
        </w:tblPrEx>
        <w:trPr>
          <w:cantSplit/>
        </w:trPr>
        <w:tc>
          <w:tcPr>
            <w:tcW w:w="1871" w:type="dxa"/>
          </w:tcPr>
          <w:p w:rsidR="00656514" w:rsidP="00207D2F" w:rsidRDefault="00656514" w14:paraId="3B99A400" w14:textId="77777777">
            <w:pPr>
              <w:pStyle w:val="TableSideHeading"/>
              <w:keepLines w:val="0"/>
            </w:pPr>
          </w:p>
        </w:tc>
        <w:tc>
          <w:tcPr>
            <w:tcW w:w="624" w:type="dxa"/>
          </w:tcPr>
          <w:p w:rsidR="00656514" w:rsidP="00207D2F" w:rsidRDefault="00656514" w14:paraId="10356E11" w14:textId="77777777">
            <w:pPr>
              <w:pStyle w:val="TableText"/>
              <w:keepLines w:val="0"/>
            </w:pPr>
          </w:p>
        </w:tc>
        <w:tc>
          <w:tcPr>
            <w:tcW w:w="1872" w:type="dxa"/>
            <w:gridSpan w:val="3"/>
          </w:tcPr>
          <w:p w:rsidRPr="004B29BA" w:rsidR="00656514" w:rsidP="00207D2F" w:rsidRDefault="00656514" w14:paraId="6CCC4263" w14:textId="77777777">
            <w:pPr>
              <w:pStyle w:val="TableInnerSideHeading"/>
              <w:rPr>
                <w:rtl/>
              </w:rPr>
            </w:pPr>
          </w:p>
        </w:tc>
        <w:tc>
          <w:tcPr>
            <w:tcW w:w="624" w:type="dxa"/>
          </w:tcPr>
          <w:p w:rsidRPr="00397BE0" w:rsidR="00656514" w:rsidP="00207D2F" w:rsidRDefault="00656514" w14:paraId="731BC35A" w14:textId="77777777">
            <w:pPr>
              <w:pStyle w:val="TableText"/>
              <w:rPr>
                <w:rtl/>
              </w:rPr>
            </w:pPr>
          </w:p>
        </w:tc>
        <w:tc>
          <w:tcPr>
            <w:tcW w:w="4647" w:type="dxa"/>
          </w:tcPr>
          <w:p w:rsidRPr="00397BE0" w:rsidR="00656514" w:rsidP="00E2266A" w:rsidRDefault="00656514" w14:paraId="0B224969" w14:textId="77777777">
            <w:pPr>
              <w:pStyle w:val="TableBlock"/>
              <w:rPr>
                <w:rtl/>
              </w:rPr>
            </w:pPr>
            <w:r>
              <w:rPr>
                <w:rFonts w:hint="cs"/>
                <w:rtl/>
              </w:rPr>
              <w:t>(ב)</w:t>
            </w:r>
            <w:r>
              <w:rPr>
                <w:rtl/>
              </w:rPr>
              <w:tab/>
            </w:r>
            <w:r>
              <w:rPr>
                <w:rFonts w:hint="cs"/>
                <w:rtl/>
              </w:rPr>
              <w:t xml:space="preserve">בית משפט רשאי לפסוק בשל עוולה לפי סעיף זה פיצוי שלא יעלה על 50,000 ש"ח, בלא הוכחת נזק; </w:t>
            </w:r>
            <w:r w:rsidRPr="00052B81">
              <w:rPr>
                <w:rtl/>
              </w:rPr>
              <w:t>סכום זה יעודכן ב-16 בכל חודש, בהתאם לשיעור שינוי המדד החדש לעומת המדד הבסיסי; לענין סעיף קטן זה –</w:t>
            </w:r>
          </w:p>
        </w:tc>
      </w:tr>
      <w:tr w:rsidR="00656514" w:rsidTr="00E72D70" w14:paraId="393FCF18" w14:textId="77777777">
        <w:tblPrEx>
          <w:tblLook w:val="01E0" w:firstRow="1" w:lastRow="1" w:firstColumn="1" w:lastColumn="1" w:noHBand="0" w:noVBand="0"/>
        </w:tblPrEx>
        <w:trPr>
          <w:cantSplit/>
        </w:trPr>
        <w:tc>
          <w:tcPr>
            <w:tcW w:w="1871" w:type="dxa"/>
          </w:tcPr>
          <w:p w:rsidR="00656514" w:rsidP="00207D2F" w:rsidRDefault="00656514" w14:paraId="33D431A3" w14:textId="77777777">
            <w:pPr>
              <w:pStyle w:val="TableSideHeading"/>
            </w:pPr>
          </w:p>
        </w:tc>
        <w:tc>
          <w:tcPr>
            <w:tcW w:w="624" w:type="dxa"/>
          </w:tcPr>
          <w:p w:rsidR="00656514" w:rsidP="00207D2F" w:rsidRDefault="00656514" w14:paraId="6E811C98" w14:textId="77777777">
            <w:pPr>
              <w:pStyle w:val="TableText"/>
            </w:pPr>
          </w:p>
        </w:tc>
        <w:tc>
          <w:tcPr>
            <w:tcW w:w="624" w:type="dxa"/>
          </w:tcPr>
          <w:p w:rsidR="00656514" w:rsidP="00207D2F" w:rsidRDefault="00656514" w14:paraId="6A32E003" w14:textId="77777777">
            <w:pPr>
              <w:pStyle w:val="TableText"/>
            </w:pPr>
          </w:p>
        </w:tc>
        <w:tc>
          <w:tcPr>
            <w:tcW w:w="624" w:type="dxa"/>
          </w:tcPr>
          <w:p w:rsidR="00656514" w:rsidP="00207D2F" w:rsidRDefault="00656514" w14:paraId="3CC8C967" w14:textId="77777777">
            <w:pPr>
              <w:pStyle w:val="TableText"/>
            </w:pPr>
          </w:p>
        </w:tc>
        <w:tc>
          <w:tcPr>
            <w:tcW w:w="624" w:type="dxa"/>
          </w:tcPr>
          <w:p w:rsidR="00656514" w:rsidP="00207D2F" w:rsidRDefault="00656514" w14:paraId="7DE346FC" w14:textId="77777777">
            <w:pPr>
              <w:pStyle w:val="TableText"/>
            </w:pPr>
          </w:p>
        </w:tc>
        <w:tc>
          <w:tcPr>
            <w:tcW w:w="624" w:type="dxa"/>
          </w:tcPr>
          <w:p w:rsidR="00656514" w:rsidP="00207D2F" w:rsidRDefault="00656514" w14:paraId="13273832" w14:textId="77777777">
            <w:pPr>
              <w:pStyle w:val="TableText"/>
            </w:pPr>
          </w:p>
        </w:tc>
        <w:tc>
          <w:tcPr>
            <w:tcW w:w="4647" w:type="dxa"/>
          </w:tcPr>
          <w:p w:rsidRPr="001C6BF4" w:rsidR="00656514" w:rsidP="00E2266A" w:rsidRDefault="00656514" w14:paraId="62A3995F" w14:textId="77777777">
            <w:pPr>
              <w:pStyle w:val="TableBlockOutdent"/>
            </w:pPr>
            <w:r w:rsidRPr="001C6BF4">
              <w:rPr>
                <w:rtl/>
              </w:rPr>
              <w:t>"מדד" – מדד המחירים לצרכן שמפרסמת הלשכה המרכזית לסטטיסטיקה;</w:t>
            </w:r>
          </w:p>
        </w:tc>
      </w:tr>
      <w:tr w:rsidR="00656514" w:rsidTr="00E72D70" w14:paraId="050BA598" w14:textId="77777777">
        <w:tblPrEx>
          <w:tblLook w:val="01E0" w:firstRow="1" w:lastRow="1" w:firstColumn="1" w:lastColumn="1" w:noHBand="0" w:noVBand="0"/>
        </w:tblPrEx>
        <w:trPr>
          <w:cantSplit/>
        </w:trPr>
        <w:tc>
          <w:tcPr>
            <w:tcW w:w="1871" w:type="dxa"/>
          </w:tcPr>
          <w:p w:rsidR="00656514" w:rsidP="00207D2F" w:rsidRDefault="00656514" w14:paraId="5FF88FAD" w14:textId="77777777">
            <w:pPr>
              <w:pStyle w:val="TableSideHeading"/>
            </w:pPr>
          </w:p>
        </w:tc>
        <w:tc>
          <w:tcPr>
            <w:tcW w:w="624" w:type="dxa"/>
          </w:tcPr>
          <w:p w:rsidR="00656514" w:rsidP="00207D2F" w:rsidRDefault="00656514" w14:paraId="5DACD662" w14:textId="77777777">
            <w:pPr>
              <w:pStyle w:val="TableText"/>
            </w:pPr>
          </w:p>
        </w:tc>
        <w:tc>
          <w:tcPr>
            <w:tcW w:w="624" w:type="dxa"/>
          </w:tcPr>
          <w:p w:rsidR="00656514" w:rsidP="00207D2F" w:rsidRDefault="00656514" w14:paraId="4AA95514" w14:textId="77777777">
            <w:pPr>
              <w:pStyle w:val="TableText"/>
            </w:pPr>
          </w:p>
        </w:tc>
        <w:tc>
          <w:tcPr>
            <w:tcW w:w="624" w:type="dxa"/>
          </w:tcPr>
          <w:p w:rsidR="00656514" w:rsidP="00207D2F" w:rsidRDefault="00656514" w14:paraId="5D31B42F" w14:textId="77777777">
            <w:pPr>
              <w:pStyle w:val="TableText"/>
            </w:pPr>
          </w:p>
        </w:tc>
        <w:tc>
          <w:tcPr>
            <w:tcW w:w="624" w:type="dxa"/>
          </w:tcPr>
          <w:p w:rsidR="00656514" w:rsidP="00207D2F" w:rsidRDefault="00656514" w14:paraId="56DA59B2" w14:textId="77777777">
            <w:pPr>
              <w:pStyle w:val="TableText"/>
            </w:pPr>
          </w:p>
        </w:tc>
        <w:tc>
          <w:tcPr>
            <w:tcW w:w="624" w:type="dxa"/>
          </w:tcPr>
          <w:p w:rsidR="00656514" w:rsidP="00207D2F" w:rsidRDefault="00656514" w14:paraId="11AFEDB7" w14:textId="77777777">
            <w:pPr>
              <w:pStyle w:val="TableText"/>
            </w:pPr>
          </w:p>
        </w:tc>
        <w:tc>
          <w:tcPr>
            <w:tcW w:w="4647" w:type="dxa"/>
          </w:tcPr>
          <w:p w:rsidRPr="001C6BF4" w:rsidR="00656514" w:rsidP="00E2266A" w:rsidRDefault="00656514" w14:paraId="253F361C" w14:textId="77777777">
            <w:pPr>
              <w:pStyle w:val="TableBlockOutdent"/>
              <w:rPr>
                <w:rtl/>
              </w:rPr>
            </w:pPr>
            <w:r w:rsidRPr="001C6BF4">
              <w:rPr>
                <w:rtl/>
              </w:rPr>
              <w:t>"המדד החדש" – מדד החודש שקדם לחודש העדכון;</w:t>
            </w:r>
          </w:p>
        </w:tc>
      </w:tr>
      <w:tr w:rsidR="00656514" w:rsidTr="00E72D70" w14:paraId="3ABBAC48" w14:textId="77777777">
        <w:tblPrEx>
          <w:tblLook w:val="01E0" w:firstRow="1" w:lastRow="1" w:firstColumn="1" w:lastColumn="1" w:noHBand="0" w:noVBand="0"/>
        </w:tblPrEx>
        <w:trPr>
          <w:cantSplit/>
        </w:trPr>
        <w:tc>
          <w:tcPr>
            <w:tcW w:w="1871" w:type="dxa"/>
          </w:tcPr>
          <w:p w:rsidR="00656514" w:rsidP="00207D2F" w:rsidRDefault="00656514" w14:paraId="2ADC6E65" w14:textId="77777777">
            <w:pPr>
              <w:pStyle w:val="TableSideHeading"/>
            </w:pPr>
          </w:p>
        </w:tc>
        <w:tc>
          <w:tcPr>
            <w:tcW w:w="624" w:type="dxa"/>
          </w:tcPr>
          <w:p w:rsidR="00656514" w:rsidP="00207D2F" w:rsidRDefault="00656514" w14:paraId="6583D8AE" w14:textId="77777777">
            <w:pPr>
              <w:pStyle w:val="TableText"/>
            </w:pPr>
          </w:p>
        </w:tc>
        <w:tc>
          <w:tcPr>
            <w:tcW w:w="624" w:type="dxa"/>
          </w:tcPr>
          <w:p w:rsidR="00656514" w:rsidP="00207D2F" w:rsidRDefault="00656514" w14:paraId="0E1C69B3" w14:textId="77777777">
            <w:pPr>
              <w:pStyle w:val="TableText"/>
            </w:pPr>
          </w:p>
        </w:tc>
        <w:tc>
          <w:tcPr>
            <w:tcW w:w="624" w:type="dxa"/>
          </w:tcPr>
          <w:p w:rsidR="00656514" w:rsidP="00207D2F" w:rsidRDefault="00656514" w14:paraId="730FAD60" w14:textId="77777777">
            <w:pPr>
              <w:pStyle w:val="TableText"/>
            </w:pPr>
          </w:p>
        </w:tc>
        <w:tc>
          <w:tcPr>
            <w:tcW w:w="624" w:type="dxa"/>
          </w:tcPr>
          <w:p w:rsidR="00656514" w:rsidP="00207D2F" w:rsidRDefault="00656514" w14:paraId="3B7B224D" w14:textId="77777777">
            <w:pPr>
              <w:pStyle w:val="TableText"/>
            </w:pPr>
          </w:p>
        </w:tc>
        <w:tc>
          <w:tcPr>
            <w:tcW w:w="624" w:type="dxa"/>
          </w:tcPr>
          <w:p w:rsidR="00656514" w:rsidP="00207D2F" w:rsidRDefault="00656514" w14:paraId="7DDFC97F" w14:textId="77777777">
            <w:pPr>
              <w:pStyle w:val="TableText"/>
            </w:pPr>
          </w:p>
        </w:tc>
        <w:tc>
          <w:tcPr>
            <w:tcW w:w="4647" w:type="dxa"/>
          </w:tcPr>
          <w:p w:rsidRPr="001C6BF4" w:rsidR="00656514" w:rsidP="00E2266A" w:rsidRDefault="00656514" w14:paraId="0D421210" w14:textId="77777777">
            <w:pPr>
              <w:pStyle w:val="TableBlockOutdent"/>
              <w:rPr>
                <w:rtl/>
              </w:rPr>
            </w:pPr>
            <w:r w:rsidRPr="001C6BF4">
              <w:rPr>
                <w:rtl/>
              </w:rPr>
              <w:t xml:space="preserve">"המדד הבסיסי" – מדד חודש </w:t>
            </w:r>
            <w:r w:rsidRPr="001C6BF4">
              <w:rPr>
                <w:rFonts w:hint="cs"/>
                <w:rtl/>
              </w:rPr>
              <w:t>אוקטובר 2020</w:t>
            </w:r>
            <w:r w:rsidRPr="001C6BF4">
              <w:rPr>
                <w:rtl/>
              </w:rPr>
              <w:t>.</w:t>
            </w:r>
            <w:r w:rsidRPr="001C6BF4">
              <w:rPr>
                <w:rFonts w:hint="cs"/>
                <w:rtl/>
              </w:rPr>
              <w:t>"</w:t>
            </w:r>
          </w:p>
        </w:tc>
      </w:tr>
    </w:tbl>
    <w:p w:rsidRPr="00E2266A" w:rsidR="00656514" w:rsidP="00E2266A" w:rsidRDefault="00656514" w14:paraId="4CCD1009" w14:textId="77777777">
      <w:pPr>
        <w:pStyle w:val="HeadDivreiHesber"/>
        <w:rPr>
          <w:rtl/>
        </w:rPr>
      </w:pPr>
      <w:r w:rsidRPr="00E2266A">
        <w:rPr>
          <w:rFonts w:hint="cs"/>
          <w:rtl/>
        </w:rPr>
        <w:t>דברי הסבר</w:t>
      </w:r>
    </w:p>
    <w:p w:rsidRPr="00E72D70" w:rsidR="00656514" w:rsidP="00E2266A" w:rsidRDefault="00656514" w14:paraId="71ED06DA" w14:textId="77777777">
      <w:pPr>
        <w:pStyle w:val="Hesber"/>
        <w:rPr>
          <w:rtl/>
        </w:rPr>
      </w:pPr>
      <w:r w:rsidRPr="00E2266A">
        <w:rPr>
          <w:rFonts w:hint="cs"/>
          <w:rtl/>
        </w:rPr>
        <w:t xml:space="preserve">חוק סדר הדין הפלילי (סמכויות אכיפה </w:t>
      </w:r>
      <w:r w:rsidRPr="00E2266A">
        <w:rPr>
          <w:rtl/>
        </w:rPr>
        <w:t>–</w:t>
      </w:r>
      <w:r w:rsidRPr="00E2266A">
        <w:rPr>
          <w:rFonts w:hint="cs"/>
          <w:rtl/>
        </w:rPr>
        <w:t xml:space="preserve"> מעצרים), התשנ"ו–1996 (להלן: "חוק המעצרים"), ופקודת בתי הסוהר, התשל"ב-1971 (להלן: "הפקודה"), קובעים ברירת מחדל לפיה עצורים ואסירים לא יהיו כבולים באזיקים במקום ציבורי, אלא בהתקיים אחד מהחריגים המפורטים בפסקה (1) לסעיפים 9א לחוק המעצרים ו-11א לפקודה, או אם </w:t>
      </w:r>
      <w:r w:rsidRPr="00E72D70">
        <w:rPr>
          <w:rFonts w:hint="cs"/>
          <w:rtl/>
        </w:rPr>
        <w:t xml:space="preserve">העצור או האסיר הורשע, הואשם או חשוד בעבירה חמורה ואין חשש להתקיימות אחד החריגים. בין החריגים </w:t>
      </w:r>
      <w:r w:rsidRPr="00E72D70">
        <w:rPr>
          <w:rtl/>
        </w:rPr>
        <w:t>–</w:t>
      </w:r>
      <w:r w:rsidRPr="00E72D70">
        <w:rPr>
          <w:rFonts w:hint="cs"/>
          <w:rtl/>
        </w:rPr>
        <w:t xml:space="preserve"> חשש להימלטות, לגרימת נזק לגוף או לרכוש ולפגיעה בראיות. פסקה (4) לסעיפים אלו מקנה לשופט סמכות להורות על שחרור עצור או אסיר מכבילה כשהוא שוהה באולם בית המשפט.</w:t>
      </w:r>
    </w:p>
    <w:p w:rsidRPr="00E2266A" w:rsidR="00656514" w:rsidP="00E72D70" w:rsidRDefault="00656514" w14:paraId="2D2CD461" w14:textId="77777777">
      <w:pPr>
        <w:pStyle w:val="Hesber"/>
        <w:rPr>
          <w:rtl/>
        </w:rPr>
      </w:pPr>
      <w:r w:rsidRPr="00E72D70">
        <w:rPr>
          <w:rFonts w:hint="cs"/>
          <w:rtl/>
        </w:rPr>
        <w:t xml:space="preserve">הסדר חוקי זה מבטא את החשיבות שמייחס הדין הישראלי לכבוד האדם בכלל ולכבודם של עצורים ואסירים בפרט. כפי שכתב כב' השופט מלצר, בבג"צ 7942/19 </w:t>
      </w:r>
      <w:r w:rsidRPr="00E72D70">
        <w:rPr>
          <w:rFonts w:hint="cs"/>
          <w:b/>
          <w:bCs/>
          <w:rtl/>
        </w:rPr>
        <w:t>רבינוביץ נ' שירות בתי הסוהר</w:t>
      </w:r>
      <w:r w:rsidRPr="00E72D70">
        <w:rPr>
          <w:rFonts w:hint="cs"/>
          <w:rtl/>
        </w:rPr>
        <w:t xml:space="preserve"> </w:t>
      </w:r>
      <w:r w:rsidRPr="00E2266A">
        <w:rPr>
          <w:rFonts w:hint="cs"/>
          <w:rtl/>
        </w:rPr>
        <w:t>(להלן: "עניין רבינוביץ"): "אין חולק כי כבילתו של אדם בפומבי עלולה להביא לפגיעה בכבודו ובהשפלתו... ההוראות המפורטות בחוק המעצרים מבקשות לאזן בין זכותו של העצור והאסיר לכבוד, מחד גיסא, לבין הבטחת הביטחון והסדר הציבורי, מאידך גיסא".</w:t>
      </w:r>
    </w:p>
    <w:p w:rsidRPr="00E72D70" w:rsidR="00656514" w:rsidP="00E72D70" w:rsidRDefault="00656514" w14:paraId="2BDC5865" w14:textId="77777777">
      <w:pPr>
        <w:pStyle w:val="Hesber"/>
        <w:rPr>
          <w:rtl/>
        </w:rPr>
      </w:pPr>
      <w:r w:rsidRPr="00E72D70">
        <w:rPr>
          <w:rFonts w:hint="cs"/>
          <w:rtl/>
        </w:rPr>
        <w:t>העתירה בעניין רבינוביץ הוגשה לאחר שהניסיון מהשטח גילה כי הגורמים האחראיים על קיום ההוראות ביחס לכבילה במקום ציבורי, בראשם שירות בתי הסוהר, אינם פועלים כהוראת המחוקק ולמעשה מותירים את רובם המוחלט של העצורים והאסירים כבולים באזיקים</w:t>
      </w:r>
      <w:r w:rsidRPr="00E72D70">
        <w:rPr>
          <w:rFonts w:hint="cs"/>
        </w:rPr>
        <w:t xml:space="preserve"> </w:t>
      </w:r>
      <w:r w:rsidRPr="00E72D70">
        <w:rPr>
          <w:rFonts w:hint="cs"/>
          <w:rtl/>
        </w:rPr>
        <w:t xml:space="preserve">מבלי שנשקלו כהלכה השיקולים המחייבים שקבע המחוקק. הדיון בעתירה גילה כי אכן הגשתה הובילה לשינוי בנהלי העבודה של שירות בתי הסוהר באופן שהביא להתאמה בין הוראות החוק לנהלי העבודה. בתגובתו לעתירה מסר שירות בתי הסוהר כי בכוונתו להפיק את הלקחים הנדרשים ולבצע את כל הפעולות הנדרשות על מנת להבטיח את יישום ההנחיה ופקודת נציבות בית הסוהר בנושא זה. השופט מלצר הוסיף וציין: </w:t>
      </w:r>
    </w:p>
    <w:p w:rsidRPr="00E72D70" w:rsidR="00656514" w:rsidP="00E72D70" w:rsidRDefault="00656514" w14:paraId="3F37D549" w14:textId="77777777">
      <w:pPr>
        <w:pStyle w:val="Hesber"/>
        <w:rPr>
          <w:rtl/>
        </w:rPr>
      </w:pPr>
      <w:r w:rsidRPr="00E72D70">
        <w:rPr>
          <w:rFonts w:hint="cs"/>
          <w:rtl/>
        </w:rPr>
        <w:t>"...מצופה מסוהרי יחידת נחשון עת הם מובילים עצור כבול לאולם בית המשפט, להסב את תשומת לב בית המשפט הדן בעניין שהעציר כבול בשל התקיימותם של החריגים שפורטו בחוק...אין על הסוהרים להמתין להעלאת הסתייגות מטעם העצור או סנגורו לכבילתו, אלא עליהם ליזום את הפנייה לבית המשפט ולנמק מדוע לדעתם עניינו של העתיר או האסיר הספציפי נכנס לגדרו של אחד מהחריגים. או אז, ישקול בית המשפט אם העניין מצדיק הפעלת הסמכות להורות על התרת הכבילה...."</w:t>
      </w:r>
    </w:p>
    <w:p w:rsidRPr="00E72D70" w:rsidR="00656514" w:rsidP="00E2266A" w:rsidRDefault="00656514" w14:paraId="5BFE2D01" w14:textId="77777777">
      <w:pPr>
        <w:pStyle w:val="Hesber"/>
        <w:rPr>
          <w:rtl/>
        </w:rPr>
      </w:pPr>
      <w:r w:rsidRPr="00E72D70">
        <w:rPr>
          <w:rFonts w:hint="cs"/>
          <w:rtl/>
        </w:rPr>
        <w:t>לאור החלטת בית המשפט בעניין רבינוביץ, ובעקבות הגשת בקשה לקיום דיון מהיר בנושא, התכנסה ועדת הפנים ואיכות הסביבה של הכנסת לדון בנושא זה ביום 22 ביוני 2020. לקראת הדיון, הועברו לחברי הוועדה מסמכים המציגים נתונים מדאיגים בדבר אי קיום הוראות החוק על ידי גורמי שירות בתי הסוהר והמשטרה. כך למשל, בדו"ח הסנגוריה הציבורית האחרון, משנת 2018, צוין כי עצורים ואסירים אזוקים במסדרונות בתי משפט ובאולמות באופן גורף וללא הפעלת שיקול דעת פרטני. נתוני  הכבילה באולמות דיונים של יחידת נחשון של השב"ס מראים שבינואר 2020 92%</w:t>
      </w:r>
      <w:r w:rsidRPr="00E72D70">
        <w:rPr>
          <w:rFonts w:hint="cs"/>
        </w:rPr>
        <w:t xml:space="preserve"> </w:t>
      </w:r>
      <w:r w:rsidRPr="00E72D70">
        <w:rPr>
          <w:rFonts w:hint="cs"/>
          <w:rtl/>
        </w:rPr>
        <w:t xml:space="preserve">מכלל העצורים נכבלו, </w:t>
      </w:r>
      <w:r w:rsidRPr="00E72D70">
        <w:rPr>
          <w:rFonts w:hint="cs"/>
          <w:rtl/>
        </w:rPr>
        <w:lastRenderedPageBreak/>
        <w:t>ובפברואר 88% נכבלו. נתונים אלו מראים כי חששה של הסנגוריה הציבורית הוא מוצדק, מצוות החוק נהייתה לאות מתה והתנהלות השב"ס הפכה את ברירת המחדל, העצורים נכבלים באזיקים במקומות ציבוריים, באולמות בתי משפט ובמסדרונות בניגוד להוראות החוק.</w:t>
      </w:r>
    </w:p>
    <w:p w:rsidRPr="00E72D70" w:rsidR="00656514" w:rsidP="00E2266A" w:rsidRDefault="00656514" w14:paraId="41117740" w14:textId="77777777">
      <w:pPr>
        <w:pStyle w:val="Hesber"/>
        <w:rPr>
          <w:rtl/>
        </w:rPr>
      </w:pPr>
      <w:r w:rsidRPr="00E72D70">
        <w:rPr>
          <w:rFonts w:hint="cs"/>
          <w:rtl/>
        </w:rPr>
        <w:t>ביקורי פתע שערכתי באולמות בתי משפט השלום במספר ערים בארץ, החל ממועד הדיון בוועדת הפנים, גילו מציאות דומה ומדאיגה.</w:t>
      </w:r>
    </w:p>
    <w:p w:rsidRPr="00E72D70" w:rsidR="00656514" w:rsidP="00E72D70" w:rsidRDefault="00656514" w14:paraId="56189DB4" w14:textId="77777777">
      <w:pPr>
        <w:pStyle w:val="Hesber"/>
        <w:rPr>
          <w:rtl/>
        </w:rPr>
      </w:pPr>
      <w:r w:rsidRPr="00E72D70">
        <w:rPr>
          <w:rFonts w:hint="cs"/>
          <w:rtl/>
        </w:rPr>
        <w:t>במצב דברים זה, דומה כי אין מנוס מתיקון חוק המעצרים והפקודה באופן שיחייב, או למצער יעודד במפגיע, הפעלת שיקול דעת פרטני בעניינו של כל עצור ואסיר, כפי שהדין מחייב גם כיום, וייתן כלי בידי עצורים ואסירים שהוראות הדין לא קוימו בעניינם לפעול נגד המדינה ולקבל פיצוי בגין הפגיעה החמורה בכבודם. ניתן להעריך כי ההקלה המוצעת בנקיטת הליכים משפטיים בגין כבילה במקום ציבורי שלא כדין, תיצור גם היא תמריץ לפעול כדין.</w:t>
      </w:r>
    </w:p>
    <w:p w:rsidRPr="00CC5FB1" w:rsidR="00656514" w:rsidP="00CC5FB1" w:rsidRDefault="00656514" w14:paraId="0966D8DD" w14:textId="77777777">
      <w:pPr>
        <w:pStyle w:val="Hesber"/>
        <w:rPr>
          <w:rtl/>
        </w:rPr>
      </w:pPr>
      <w:r w:rsidRPr="00CC5FB1">
        <w:rPr>
          <w:rFonts w:hint="cs"/>
          <w:rtl/>
        </w:rPr>
        <w:t>לפיכך מוצע לתקן את פסקה (4) בסעיפים 9א בחוק המעצרים ו-11א בפקודה כך שחלף מתן הסמכות הערטילאית לשופט להורות על שחרור מכבילה באולם בית המשפט, תיקבע חובה פוזיטיבית על הגורמים האחראיים על העצור או האסיר בבית המשפט להודיע לשופט על התקיימות חריג מהחריגים המפורטים בפסקה (1). לאחר שהודיעו לשופט על כך, יהיה רשאי להורות על שחרור העצור או האסיר מכבילתו. תנאי זה יגדיל משמעותית את הסיכוי כי לכל הפחות באולמות בתי משפט יופעל שיקול דעת פרטני וראוי בעניינו של כל עצור ואסיר, וכן תאפשר למעשה את התובענה בגין עוולה אזרחית מכוח סעיפים 9ב בחוק המעצרים ו-11א1 בפקודה. ללא תיקון זה, הוכחת התיבה "שלא כדין" תהיה כמעט בלתי אפשרית בעבור עצורים ואסירים שנכבלו ללא הפעלת שיקול דעת ראוי.</w:t>
      </w:r>
    </w:p>
    <w:p w:rsidRPr="00CC5FB1" w:rsidR="00656514" w:rsidP="00CC5FB1" w:rsidRDefault="00656514" w14:paraId="499A3AED" w14:textId="77777777">
      <w:pPr>
        <w:pStyle w:val="Hesber"/>
        <w:rPr>
          <w:rtl/>
        </w:rPr>
      </w:pPr>
      <w:r w:rsidRPr="00CC5FB1">
        <w:rPr>
          <w:rFonts w:hint="cs"/>
          <w:rtl/>
        </w:rPr>
        <w:t>בנוסף, מוצע להוסיף את סעיפים 9ב בחוק המעצרים ו-11א1 בפקודה שעניינם יצירת עוולה אזרחית ייחודית של כבילת עצור, או אסיר, שלא כדין, וקביעת פיצוי בלא הוכחת נזק של עד 50 אלף ש"ח. הנזק במקרים של כבילה שלא כדין ברור וטבעי לעצם המעשה, והוא הפגיעה בכבודו של אדם בפרהסיה, באופן שמגיע כדי השפלה, כפי שנכתב בעניין רבינוביץ. לכן, במקרים אלו אין רבותא בהוכחת נזק פרטני בכל מקרה ומקרה, דרישתה תפגע ביכולת עצורים ואסירים לעמוד על זכויותיהם בבית המשפט ותיצור אפקט מצנן כלפי תביעות מכוח סעיפים אלו באופן שיחתור תחת מטרות התיקון.</w:t>
      </w:r>
    </w:p>
    <w:p w:rsidR="00E72D70" w:rsidP="00CC5FB1" w:rsidRDefault="00656514" w14:paraId="3C9E3285" w14:textId="542C6115">
      <w:pPr>
        <w:pStyle w:val="Hesber"/>
        <w:rPr>
          <w:rtl/>
        </w:rPr>
      </w:pPr>
      <w:r w:rsidRPr="00CC5FB1">
        <w:rPr>
          <w:rFonts w:hint="cs"/>
          <w:rtl/>
        </w:rPr>
        <w:t xml:space="preserve">הצעת חוק זהה הונחה על שולחן הכנסת העשרים ושלוש על ידי חבר הכנסת משה ארבל </w:t>
      </w:r>
      <w:r w:rsidRPr="00CC5FB1" w:rsidR="00E72D70">
        <w:rPr>
          <w:rFonts w:hint="cs"/>
          <w:rtl/>
        </w:rPr>
        <w:t>וקבוצת חברי הכנסת</w:t>
      </w:r>
      <w:r w:rsidRPr="00CC5FB1">
        <w:rPr>
          <w:rFonts w:hint="cs"/>
          <w:rtl/>
        </w:rPr>
        <w:t xml:space="preserve"> (פ/1729/23).</w:t>
      </w:r>
      <w:r w:rsidRPr="00CC5FB1" w:rsidR="00CC5FB1">
        <w:rPr>
          <w:rFonts w:hint="cs"/>
          <w:rtl/>
        </w:rPr>
        <w:t xml:space="preserve"> הצעת החוק</w:t>
      </w:r>
      <w:r w:rsidRPr="00CC5FB1" w:rsidR="00E72D70">
        <w:rPr>
          <w:rtl/>
        </w:rPr>
        <w:t xml:space="preserve"> זהה לפ/</w:t>
      </w:r>
      <w:r w:rsidRPr="00CC5FB1" w:rsidR="00E72D70">
        <w:rPr>
          <w:rFonts w:hint="cs"/>
          <w:rtl/>
        </w:rPr>
        <w:t>1729/23</w:t>
      </w:r>
      <w:r w:rsidRPr="00CC5FB1" w:rsidR="00E72D70">
        <w:rPr>
          <w:rtl/>
        </w:rPr>
        <w:t xml:space="preserve"> ולפיכך לא נבדקה מחדש על ידי הלשכה המשפטית של הכנסת</w:t>
      </w:r>
      <w:r w:rsidRPr="00CC5FB1" w:rsidR="00E72D70">
        <w:rPr>
          <w:rFonts w:hint="cs"/>
          <w:rtl/>
        </w:rPr>
        <w:t>.</w:t>
      </w:r>
    </w:p>
    <w:p w:rsidR="00CC5FB1" w:rsidP="00CC5FB1" w:rsidRDefault="00CC5FB1" w14:paraId="45953E57" w14:textId="77777777">
      <w:pPr>
        <w:pStyle w:val="Hesber"/>
        <w:rPr>
          <w:rtl/>
        </w:rPr>
      </w:pPr>
    </w:p>
    <w:p w:rsidR="00CC5FB1" w:rsidP="00CC5FB1" w:rsidRDefault="00CC5FB1" w14:paraId="09857609" w14:textId="77777777">
      <w:pPr>
        <w:pStyle w:val="Hesber"/>
        <w:rPr>
          <w:rtl/>
        </w:rPr>
      </w:pPr>
    </w:p>
    <w:p w:rsidRPr="00CC5FB1" w:rsidR="00CC5FB1" w:rsidP="00CC5FB1" w:rsidRDefault="00CC5FB1" w14:paraId="600DF65C" w14:textId="77777777">
      <w:pPr>
        <w:pStyle w:val="Hesber"/>
      </w:pPr>
    </w:p>
    <w:p w:rsidRPr="00E72D70" w:rsidR="00E72D70" w:rsidP="00E72D70" w:rsidRDefault="00E72D70" w14:paraId="0F8E18A2" w14:textId="77777777">
      <w:pPr>
        <w:pStyle w:val="Hesber1st"/>
        <w:tabs>
          <w:tab w:val="clear" w:pos="680"/>
        </w:tabs>
        <w:rPr>
          <w:rtl/>
        </w:rPr>
      </w:pPr>
    </w:p>
    <w:p w:rsidRPr="00E72D70" w:rsidR="00E13C27" w:rsidP="00E72D70" w:rsidRDefault="00E13C27" w14:paraId="7F6961CB" w14:textId="77777777">
      <w:pPr>
        <w:pStyle w:val="Hesber"/>
        <w:rPr>
          <w:rtl/>
        </w:rPr>
      </w:pPr>
    </w:p>
    <w:p>
      <w:pPr>
        <w:jc w:val="left"/>
        <w:spacing w:before="0" w:after="0" w:line="276" w:lineRule="auto"/>
      </w:pPr>
      <w:bookmarkStart w:name="selectedDocDateB" w:id="9"/>
      <w:bookmarkEnd w:id="9"/>
      <w:r/>
      <w:p>
        <w:pPr>
          <w:jc w:val="left"/>
          <w:spacing w:before="0" w:after="0" w:line="360" w:lineRule="auto"/>
        </w:pPr>
        <w:r>
          <w:rPr>
            <w:rtl/>
            <w:rFonts w:hint="cs" w:ascii="David" w:hAnsi="David" w:eastAsia="David" w:cs="David"/>
            <w:sz w:val="26"/>
            <w:szCs w:val="26"/>
          </w:rPr>
          <w:t>--------------------------------</w:t>
        </w:r>
      </w:p>
      <w:p>
        <w:pPr>
          <w:jc w:val="left"/>
          <w:spacing w:before="0" w:after="0" w:line="360" w:lineRule="auto"/>
        </w:pPr>
        <w:r>
          <w:rPr>
            <w:rtl/>
            <w:rFonts w:hint="cs" w:ascii="David" w:hAnsi="David" w:eastAsia="David" w:cs="David"/>
            <w:sz w:val="26"/>
            <w:szCs w:val="26"/>
          </w:rPr>
          <w:t>הוגשה ליו"ר הכנסת והסגנים</w:t>
        </w:r>
      </w:p>
      <w:p>
        <w:pPr>
          <w:jc w:val="left"/>
          <w:spacing w:before="0" w:after="0" w:line="360" w:lineRule="auto"/>
        </w:pPr>
        <w:r>
          <w:rPr>
            <w:rtl/>
            <w:rFonts w:hint="cs" w:ascii="David" w:hAnsi="David" w:eastAsia="David" w:cs="David"/>
            <w:sz w:val="26"/>
            <w:szCs w:val="26"/>
          </w:rPr>
          <w:t>והונחה על שולחן הכנסת ביום</w:t>
        </w:r>
      </w:p>
      <w:p>
        <w:pPr>
          <w:jc w:val="left"/>
          <w:spacing w:before="0" w:after="0" w:line="360" w:lineRule="auto"/>
        </w:pPr>
        <w:r>
          <w:rPr>
            <w:rtl/>
            <w:rFonts w:hint="cs" w:ascii="David" w:hAnsi="David" w:eastAsia="David" w:cs="David"/>
            <w:sz w:val="26"/>
            <w:szCs w:val="26"/>
          </w:rPr>
          <w:t xml:space="preserve">כ"א באייר התשפ"א</w:t>
          <w:t xml:space="preserve"> (03.05.2021) </w:t>
        </w:r>
      </w:p>
    </w:p>
    <w:sectPr w:rsidRPr="00E72D70" w:rsidR="00E13C27" w:rsidSect="00E72D70">
      <w:footerReference w:type="even" r:id="rId11"/>
      <w:footerReference w:type="default" r:id="rId12"/>
      <w:pgSz w:w="11907" w:h="16840" w:code="9"/>
      <w:pgMar w:top="1701" w:right="1134" w:bottom="1417" w:left="1134" w:header="680" w:footer="680" w:gutter="0"/>
      <w:cols w:space="720"/>
      <w:noEndnote/>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4EE5F042"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CC5FB1">
      <w:rPr>
        <w:rStyle w:val="ab"/>
        <w:noProof/>
        <w:rtl/>
      </w:rPr>
      <w:t>4</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74C0" w14:textId="77777777" w:rsidR="00D142D3" w:rsidRDefault="00D142D3" w:rsidP="00E72D70">
      <w:pPr>
        <w:ind w:left="0"/>
      </w:pPr>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157487A2" w14:textId="77777777" w:rsidR="00656514" w:rsidRDefault="00656514" w:rsidP="00656514">
      <w:pPr>
        <w:pStyle w:val="a4"/>
      </w:pPr>
      <w:r>
        <w:rPr>
          <w:rStyle w:val="a6"/>
        </w:rPr>
        <w:footnoteRef/>
      </w:r>
      <w:r>
        <w:rPr>
          <w:rtl/>
        </w:rPr>
        <w:t xml:space="preserve"> </w:t>
      </w:r>
      <w:r>
        <w:rPr>
          <w:rFonts w:hint="cs"/>
          <w:rtl/>
        </w:rPr>
        <w:t>ס"ח התשנ"ו, עמ' 338.</w:t>
      </w:r>
    </w:p>
  </w:footnote>
  <w:footnote w:id="3">
    <w:p w14:paraId="3283FC43" w14:textId="77777777" w:rsidR="00656514" w:rsidRDefault="00656514" w:rsidP="00656514">
      <w:pPr>
        <w:pStyle w:val="a4"/>
      </w:pPr>
      <w:r>
        <w:rPr>
          <w:rStyle w:val="a6"/>
        </w:rPr>
        <w:footnoteRef/>
      </w:r>
      <w:r>
        <w:rPr>
          <w:rtl/>
        </w:rPr>
        <w:t xml:space="preserve"> דיני מדינת ישראל, נוסח חדש 21, עמ' 459.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1"/>
  </w:num>
  <w:num w:numId="14">
    <w:abstractNumId w:val="16"/>
  </w:num>
  <w:num w:numId="15">
    <w:abstractNumId w:val="13"/>
  </w:num>
  <w:num w:numId="16">
    <w:abstractNumId w:val="13"/>
    <w:lvlOverride w:ilvl="0">
      <w:startOverride w:val="1"/>
    </w:lvlOverride>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B064E"/>
    <w:rsid w:val="005D51AE"/>
    <w:rsid w:val="0062674B"/>
    <w:rsid w:val="006363B2"/>
    <w:rsid w:val="00644940"/>
    <w:rsid w:val="00656514"/>
    <w:rsid w:val="006818A9"/>
    <w:rsid w:val="006A2D81"/>
    <w:rsid w:val="006C1D0D"/>
    <w:rsid w:val="0070601E"/>
    <w:rsid w:val="00712C72"/>
    <w:rsid w:val="00735FE9"/>
    <w:rsid w:val="00763CAA"/>
    <w:rsid w:val="00765F66"/>
    <w:rsid w:val="0078664F"/>
    <w:rsid w:val="007A27CE"/>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9176A"/>
    <w:rsid w:val="00CC5FB1"/>
    <w:rsid w:val="00CF1AA2"/>
    <w:rsid w:val="00D142D3"/>
    <w:rsid w:val="00D17774"/>
    <w:rsid w:val="00D63620"/>
    <w:rsid w:val="00D8410D"/>
    <w:rsid w:val="00D867D7"/>
    <w:rsid w:val="00DB7060"/>
    <w:rsid w:val="00DE3153"/>
    <w:rsid w:val="00E06736"/>
    <w:rsid w:val="00E13C27"/>
    <w:rsid w:val="00E2266A"/>
    <w:rsid w:val="00E33BBD"/>
    <w:rsid w:val="00E374F2"/>
    <w:rsid w:val="00E45103"/>
    <w:rsid w:val="00E55A60"/>
    <w:rsid w:val="00E62778"/>
    <w:rsid w:val="00E635A2"/>
    <w:rsid w:val="00E63D38"/>
    <w:rsid w:val="00E665B9"/>
    <w:rsid w:val="00E72D70"/>
    <w:rsid w:val="00EA01E6"/>
    <w:rsid w:val="00EA3DE8"/>
    <w:rsid w:val="00EA758F"/>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D31178EE-BF6D-4E15-B828-988F4AFC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66A"/>
    <w:pPr>
      <w:widowControl w:val="0"/>
      <w:bidi/>
      <w:spacing w:line="360" w:lineRule="auto"/>
      <w:ind w:left="340"/>
      <w:contextualSpacing/>
      <w:jc w:val="both"/>
    </w:pPr>
    <w:rPr>
      <w:rFonts w:ascii="David" w:eastAsiaTheme="minorHAnsi" w:hAnsi="David" w:cs="David"/>
      <w:sz w:val="24"/>
      <w:szCs w:val="24"/>
    </w:rPr>
  </w:style>
  <w:style w:type="paragraph" w:styleId="1">
    <w:name w:val="heading 1"/>
    <w:basedOn w:val="a"/>
    <w:next w:val="a"/>
    <w:link w:val="10"/>
    <w:uiPriority w:val="9"/>
    <w:qFormat/>
    <w:rsid w:val="00E2266A"/>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E2266A"/>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E2266A"/>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E2266A"/>
    <w:pPr>
      <w:numPr>
        <w:numId w:val="18"/>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E2266A"/>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E2266A"/>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E2266A"/>
    <w:rPr>
      <w:sz w:val="36"/>
      <w:szCs w:val="52"/>
    </w:rPr>
  </w:style>
  <w:style w:type="paragraph" w:customStyle="1" w:styleId="Cover3-Haknesset">
    <w:name w:val="Cover 3-Haknesset"/>
    <w:basedOn w:val="Cover1-Reshumot"/>
    <w:rsid w:val="00E2266A"/>
    <w:rPr>
      <w:b/>
      <w:bCs/>
      <w:spacing w:val="60"/>
    </w:rPr>
  </w:style>
  <w:style w:type="paragraph" w:customStyle="1" w:styleId="Cover4-Date">
    <w:name w:val="Cover 4-Date"/>
    <w:basedOn w:val="a"/>
    <w:rsid w:val="00E2266A"/>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E2266A"/>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E2266A"/>
    <w:pPr>
      <w:keepNext/>
      <w:keepLines/>
      <w:snapToGrid w:val="0"/>
      <w:spacing w:before="240"/>
      <w:jc w:val="center"/>
      <w:outlineLvl w:val="0"/>
    </w:pPr>
    <w:rPr>
      <w:rFonts w:ascii="Arial" w:eastAsia="Arial Unicode MS" w:hAnsi="Arial"/>
      <w:b/>
      <w:bCs/>
      <w:snapToGrid w:val="0"/>
      <w:sz w:val="20"/>
      <w:szCs w:val="26"/>
    </w:rPr>
  </w:style>
  <w:style w:type="paragraph" w:customStyle="1" w:styleId="HeadHatzaotHok4Futer">
    <w:name w:val="Head HatzaotHok4Futer"/>
    <w:basedOn w:val="HeadHatzaotHok"/>
    <w:rsid w:val="00E2266A"/>
    <w:pPr>
      <w:spacing w:before="120" w:after="120"/>
    </w:pPr>
    <w:rPr>
      <w:color w:val="FF0000"/>
      <w:w w:val="80"/>
    </w:rPr>
  </w:style>
  <w:style w:type="paragraph" w:styleId="a3">
    <w:name w:val="endnote text"/>
    <w:basedOn w:val="a"/>
    <w:semiHidden/>
    <w:rsid w:val="00E2266A"/>
    <w:pPr>
      <w:ind w:left="227" w:hanging="227"/>
    </w:pPr>
    <w:rPr>
      <w:sz w:val="14"/>
      <w:szCs w:val="22"/>
    </w:rPr>
  </w:style>
  <w:style w:type="paragraph" w:customStyle="1" w:styleId="TableText">
    <w:name w:val="Table Text"/>
    <w:basedOn w:val="a"/>
    <w:rsid w:val="00E2266A"/>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E2266A"/>
    <w:pPr>
      <w:outlineLvl w:val="2"/>
    </w:pPr>
  </w:style>
  <w:style w:type="paragraph" w:customStyle="1" w:styleId="TableBlock">
    <w:name w:val="Table Block"/>
    <w:basedOn w:val="TableText"/>
    <w:rsid w:val="00E2266A"/>
    <w:pPr>
      <w:jc w:val="both"/>
    </w:pPr>
  </w:style>
  <w:style w:type="paragraph" w:customStyle="1" w:styleId="TableHead">
    <w:name w:val="Table Head"/>
    <w:basedOn w:val="TableText"/>
    <w:rsid w:val="00E2266A"/>
    <w:pPr>
      <w:jc w:val="center"/>
      <w:outlineLvl w:val="1"/>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E2266A"/>
    <w:pPr>
      <w:outlineLvl w:val="9"/>
    </w:pPr>
  </w:style>
  <w:style w:type="paragraph" w:customStyle="1" w:styleId="Hesber">
    <w:name w:val="Hesber"/>
    <w:basedOn w:val="a"/>
    <w:rsid w:val="00E2266A"/>
    <w:pPr>
      <w:snapToGrid w:val="0"/>
      <w:ind w:left="0" w:firstLine="340"/>
    </w:pPr>
    <w:rPr>
      <w:rFonts w:ascii="Arial" w:eastAsia="Arial Unicode MS" w:hAnsi="Arial"/>
      <w:snapToGrid w:val="0"/>
      <w:sz w:val="20"/>
      <w:szCs w:val="26"/>
    </w:rPr>
  </w:style>
  <w:style w:type="paragraph" w:styleId="a4">
    <w:name w:val="footnote text"/>
    <w:basedOn w:val="a"/>
    <w:link w:val="a5"/>
    <w:autoRedefine/>
    <w:semiHidden/>
    <w:rsid w:val="00E2266A"/>
    <w:pPr>
      <w:snapToGrid w:val="0"/>
      <w:spacing w:line="240" w:lineRule="auto"/>
      <w:ind w:left="0"/>
      <w:jc w:val="left"/>
    </w:pPr>
    <w:rPr>
      <w:rFonts w:ascii="Arial" w:eastAsia="Arial Unicode MS" w:hAnsi="Arial"/>
      <w:snapToGrid w:val="0"/>
      <w:sz w:val="14"/>
      <w:szCs w:val="20"/>
    </w:rPr>
  </w:style>
  <w:style w:type="character" w:styleId="a6">
    <w:name w:val="footnote reference"/>
    <w:aliases w:val="Footnote Reference"/>
    <w:basedOn w:val="a0"/>
    <w:semiHidden/>
    <w:rsid w:val="00E2266A"/>
    <w:rPr>
      <w:vertAlign w:val="superscript"/>
    </w:rPr>
  </w:style>
  <w:style w:type="paragraph" w:customStyle="1" w:styleId="HesberHeading">
    <w:name w:val="Hesber Heading"/>
    <w:basedOn w:val="Hesber"/>
    <w:rsid w:val="00E2266A"/>
    <w:pPr>
      <w:tabs>
        <w:tab w:val="left" w:pos="624"/>
        <w:tab w:val="left" w:pos="1247"/>
      </w:tabs>
    </w:pPr>
    <w:rPr>
      <w:b/>
      <w:bCs/>
    </w:rPr>
  </w:style>
  <w:style w:type="paragraph" w:customStyle="1" w:styleId="HesberWriters">
    <w:name w:val="Hesber Writers"/>
    <w:basedOn w:val="Hesber"/>
    <w:rsid w:val="00E2266A"/>
    <w:pPr>
      <w:spacing w:before="120" w:after="120"/>
      <w:ind w:left="1418"/>
      <w:jc w:val="right"/>
    </w:pPr>
    <w:rPr>
      <w:b/>
      <w:bCs/>
    </w:rPr>
  </w:style>
  <w:style w:type="paragraph" w:customStyle="1" w:styleId="Hesber1st">
    <w:name w:val="Hesber 1st"/>
    <w:basedOn w:val="Hesber"/>
    <w:rsid w:val="00E2266A"/>
    <w:pPr>
      <w:tabs>
        <w:tab w:val="left" w:pos="680"/>
        <w:tab w:val="left" w:pos="1020"/>
      </w:tabs>
      <w:ind w:firstLine="0"/>
    </w:pPr>
  </w:style>
  <w:style w:type="character" w:styleId="a7">
    <w:name w:val="endnote reference"/>
    <w:basedOn w:val="a0"/>
    <w:semiHidden/>
    <w:rsid w:val="00E2266A"/>
    <w:rPr>
      <w:vertAlign w:val="superscript"/>
    </w:rPr>
  </w:style>
  <w:style w:type="paragraph" w:customStyle="1" w:styleId="TableBlockOutdent">
    <w:name w:val="Table BlockOutdent"/>
    <w:basedOn w:val="TableBlock"/>
    <w:rsid w:val="00E2266A"/>
    <w:pPr>
      <w:ind w:left="624" w:hanging="624"/>
    </w:pPr>
  </w:style>
  <w:style w:type="paragraph" w:styleId="a8">
    <w:name w:val="header"/>
    <w:basedOn w:val="a"/>
    <w:rsid w:val="00E2266A"/>
    <w:pPr>
      <w:tabs>
        <w:tab w:val="center" w:pos="4153"/>
        <w:tab w:val="right" w:pos="8306"/>
      </w:tabs>
    </w:pPr>
  </w:style>
  <w:style w:type="paragraph" w:styleId="a9">
    <w:name w:val="footer"/>
    <w:basedOn w:val="a"/>
    <w:rsid w:val="00E2266A"/>
    <w:pPr>
      <w:tabs>
        <w:tab w:val="center" w:pos="4153"/>
        <w:tab w:val="right" w:pos="8306"/>
      </w:tabs>
    </w:pPr>
  </w:style>
  <w:style w:type="paragraph" w:customStyle="1" w:styleId="HeadDivreiHesber">
    <w:name w:val="Head DivreiHesber"/>
    <w:basedOn w:val="a"/>
    <w:rsid w:val="00E2266A"/>
    <w:pPr>
      <w:snapToGrid w:val="0"/>
      <w:spacing w:before="360" w:after="120"/>
      <w:jc w:val="center"/>
      <w:outlineLvl w:val="1"/>
    </w:pPr>
    <w:rPr>
      <w:rFonts w:ascii="Arial" w:eastAsia="Arial Unicode MS" w:hAnsi="Arial"/>
      <w:b/>
      <w:snapToGrid w:val="0"/>
      <w:spacing w:val="40"/>
      <w:sz w:val="20"/>
      <w:szCs w:val="26"/>
    </w:rPr>
  </w:style>
  <w:style w:type="paragraph" w:customStyle="1" w:styleId="Ragil">
    <w:name w:val="Ragil"/>
    <w:basedOn w:val="a"/>
    <w:rsid w:val="00E2266A"/>
    <w:pPr>
      <w:snapToGrid w:val="0"/>
      <w:jc w:val="left"/>
    </w:pPr>
    <w:rPr>
      <w:rFonts w:ascii="Arial" w:eastAsia="Arial Unicode MS" w:hAnsi="Arial"/>
      <w:snapToGrid w:val="0"/>
      <w:sz w:val="20"/>
      <w:szCs w:val="26"/>
    </w:rPr>
  </w:style>
  <w:style w:type="paragraph" w:styleId="aa">
    <w:name w:val="Title"/>
    <w:basedOn w:val="a"/>
    <w:qFormat/>
    <w:rsid w:val="00943386"/>
    <w:pPr>
      <w:jc w:val="center"/>
    </w:pPr>
    <w:rPr>
      <w:b/>
      <w:bCs/>
      <w:sz w:val="28"/>
      <w:szCs w:val="28"/>
      <w:u w:val="single"/>
    </w:rPr>
  </w:style>
  <w:style w:type="character" w:styleId="ab">
    <w:name w:val="page number"/>
    <w:basedOn w:val="a0"/>
    <w:rsid w:val="00E2266A"/>
  </w:style>
  <w:style w:type="paragraph" w:customStyle="1" w:styleId="David">
    <w:name w:val="רגיל + (עברית ושפות אחרות) David"/>
    <w:aliases w:val="‏13 נק',מודגש,אחרי:  6 נק'"/>
    <w:basedOn w:val="a"/>
    <w:rsid w:val="001207F8"/>
    <w:pPr>
      <w:jc w:val="left"/>
    </w:pPr>
    <w:rPr>
      <w:sz w:val="26"/>
      <w:szCs w:val="26"/>
    </w:rPr>
  </w:style>
  <w:style w:type="paragraph" w:styleId="ac">
    <w:name w:val="Balloon Text"/>
    <w:basedOn w:val="a"/>
    <w:link w:val="ad"/>
    <w:semiHidden/>
    <w:unhideWhenUsed/>
    <w:rsid w:val="00325C14"/>
    <w:pPr>
      <w:spacing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semiHidden/>
    <w:rsid w:val="00656514"/>
    <w:rPr>
      <w:rFonts w:ascii="Arial" w:eastAsia="Arial Unicode MS" w:hAnsi="Arial" w:cs="David"/>
      <w:snapToGrid w:val="0"/>
      <w:sz w:val="14"/>
    </w:rPr>
  </w:style>
  <w:style w:type="character" w:customStyle="1" w:styleId="10">
    <w:name w:val="כותרת 1 תו"/>
    <w:basedOn w:val="a0"/>
    <w:link w:val="1"/>
    <w:uiPriority w:val="9"/>
    <w:rsid w:val="00E2266A"/>
    <w:rPr>
      <w:rFonts w:asciiTheme="majorHAnsi" w:eastAsiaTheme="majorEastAsia" w:hAnsiTheme="majorHAnsi" w:cs="David"/>
      <w:bCs/>
      <w:sz w:val="32"/>
      <w:szCs w:val="36"/>
    </w:rPr>
  </w:style>
  <w:style w:type="character" w:customStyle="1" w:styleId="20">
    <w:name w:val="כותרת 2 תו"/>
    <w:basedOn w:val="a0"/>
    <w:link w:val="2"/>
    <w:rsid w:val="00E2266A"/>
    <w:rPr>
      <w:rFonts w:asciiTheme="majorHAnsi" w:eastAsiaTheme="majorEastAsia" w:hAnsiTheme="majorHAnsi" w:cs="David"/>
      <w:bCs/>
      <w:sz w:val="26"/>
      <w:szCs w:val="36"/>
      <w:u w:val="single"/>
    </w:rPr>
  </w:style>
  <w:style w:type="character" w:customStyle="1" w:styleId="30">
    <w:name w:val="כותרת 3 תו"/>
    <w:basedOn w:val="a0"/>
    <w:link w:val="3"/>
    <w:rsid w:val="00E2266A"/>
    <w:rPr>
      <w:rFonts w:asciiTheme="majorHAnsi" w:eastAsiaTheme="majorEastAsia" w:hAnsiTheme="majorHAnsi" w:cs="David"/>
      <w:sz w:val="24"/>
      <w:szCs w:val="28"/>
      <w:u w:val="double"/>
    </w:rPr>
  </w:style>
  <w:style w:type="character" w:customStyle="1" w:styleId="40">
    <w:name w:val="כותרת 4 תו"/>
    <w:basedOn w:val="a0"/>
    <w:link w:val="4"/>
    <w:uiPriority w:val="9"/>
    <w:rsid w:val="00E2266A"/>
    <w:rPr>
      <w:rFonts w:ascii="David" w:eastAsiaTheme="minorHAnsi" w:hAnsi="David" w:cs="David"/>
      <w:b/>
      <w:bCs/>
      <w:color w:val="000000" w:themeColor="text1"/>
      <w:sz w:val="24"/>
      <w:szCs w:val="28"/>
    </w:rPr>
  </w:style>
  <w:style w:type="character" w:customStyle="1" w:styleId="50">
    <w:name w:val="כותרת 5 תו"/>
    <w:basedOn w:val="a0"/>
    <w:link w:val="5"/>
    <w:uiPriority w:val="9"/>
    <w:rsid w:val="00E2266A"/>
    <w:rPr>
      <w:rFonts w:ascii="David" w:eastAsiaTheme="minorHAnsi" w:hAnsi="David" w:cs="David"/>
      <w:color w:val="000000" w:themeColor="text1"/>
      <w:sz w:val="24"/>
      <w:szCs w:val="24"/>
    </w:rPr>
  </w:style>
  <w:style w:type="paragraph" w:styleId="ae">
    <w:name w:val="TOC Heading"/>
    <w:basedOn w:val="1"/>
    <w:next w:val="a"/>
    <w:uiPriority w:val="39"/>
    <w:unhideWhenUsed/>
    <w:qFormat/>
    <w:rsid w:val="00E2266A"/>
    <w:pPr>
      <w:widowControl/>
      <w:spacing w:before="120" w:after="120"/>
      <w:outlineLvl w:val="9"/>
    </w:pPr>
    <w:rPr>
      <w:rtl/>
      <w:cs/>
    </w:rPr>
  </w:style>
  <w:style w:type="paragraph" w:styleId="TOC1">
    <w:name w:val="toc 1"/>
    <w:basedOn w:val="a"/>
    <w:next w:val="a"/>
    <w:autoRedefine/>
    <w:uiPriority w:val="39"/>
    <w:unhideWhenUsed/>
    <w:rsid w:val="00E2266A"/>
    <w:pPr>
      <w:tabs>
        <w:tab w:val="right" w:leader="dot" w:pos="9629"/>
      </w:tabs>
      <w:spacing w:after="100"/>
    </w:pPr>
    <w:rPr>
      <w:bCs/>
      <w:szCs w:val="22"/>
    </w:rPr>
  </w:style>
  <w:style w:type="paragraph" w:styleId="TOC2">
    <w:name w:val="toc 2"/>
    <w:basedOn w:val="a"/>
    <w:next w:val="a"/>
    <w:uiPriority w:val="39"/>
    <w:unhideWhenUsed/>
    <w:rsid w:val="00E2266A"/>
    <w:pPr>
      <w:tabs>
        <w:tab w:val="right" w:leader="dot" w:pos="9628"/>
      </w:tabs>
      <w:spacing w:after="100"/>
    </w:pPr>
    <w:rPr>
      <w:szCs w:val="22"/>
    </w:rPr>
  </w:style>
  <w:style w:type="character" w:styleId="Hyperlink">
    <w:name w:val="Hyperlink"/>
    <w:basedOn w:val="a0"/>
    <w:uiPriority w:val="99"/>
    <w:unhideWhenUsed/>
    <w:rsid w:val="00E2266A"/>
    <w:rPr>
      <w:color w:val="0000FF" w:themeColor="hyperlink"/>
      <w:u w:val="single"/>
    </w:rPr>
  </w:style>
  <w:style w:type="paragraph" w:styleId="TOC3">
    <w:name w:val="toc 3"/>
    <w:basedOn w:val="a"/>
    <w:next w:val="a"/>
    <w:uiPriority w:val="39"/>
    <w:unhideWhenUsed/>
    <w:rsid w:val="00E2266A"/>
    <w:pPr>
      <w:numPr>
        <w:numId w:val="21"/>
      </w:numPr>
      <w:tabs>
        <w:tab w:val="right" w:leader="dot" w:pos="9629"/>
      </w:tabs>
      <w:spacing w:after="100"/>
      <w:ind w:left="811" w:hanging="357"/>
    </w:pPr>
    <w:rPr>
      <w:szCs w:val="22"/>
    </w:rPr>
  </w:style>
  <w:style w:type="paragraph" w:styleId="TOC4">
    <w:name w:val="toc 4"/>
    <w:basedOn w:val="a"/>
    <w:next w:val="a"/>
    <w:autoRedefine/>
    <w:unhideWhenUsed/>
    <w:qFormat/>
    <w:rsid w:val="00E2266A"/>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E2266A"/>
    <w:pPr>
      <w:tabs>
        <w:tab w:val="right" w:leader="dot" w:pos="9628"/>
      </w:tabs>
      <w:spacing w:after="100"/>
      <w:ind w:left="567"/>
    </w:pPr>
    <w:rPr>
      <w:szCs w:val="22"/>
    </w:rPr>
  </w:style>
  <w:style w:type="paragraph" w:styleId="TOC6">
    <w:name w:val="toc 6"/>
    <w:basedOn w:val="a"/>
    <w:next w:val="a"/>
    <w:autoRedefine/>
    <w:semiHidden/>
    <w:unhideWhenUsed/>
    <w:rsid w:val="00E2266A"/>
    <w:pPr>
      <w:spacing w:after="100"/>
      <w:ind w:left="850"/>
    </w:pPr>
  </w:style>
  <w:style w:type="paragraph" w:styleId="TOC7">
    <w:name w:val="toc 7"/>
    <w:basedOn w:val="a"/>
    <w:next w:val="a"/>
    <w:autoRedefine/>
    <w:semiHidden/>
    <w:unhideWhenUsed/>
    <w:rsid w:val="00E2266A"/>
    <w:pPr>
      <w:spacing w:after="100"/>
      <w:ind w:left="1020"/>
    </w:pPr>
  </w:style>
  <w:style w:type="paragraph" w:styleId="TOC8">
    <w:name w:val="toc 8"/>
    <w:basedOn w:val="a"/>
    <w:next w:val="a"/>
    <w:autoRedefine/>
    <w:semiHidden/>
    <w:unhideWhenUsed/>
    <w:rsid w:val="00E2266A"/>
    <w:pPr>
      <w:spacing w:after="100"/>
      <w:ind w:left="1190"/>
    </w:pPr>
  </w:style>
  <w:style w:type="paragraph" w:styleId="TOC9">
    <w:name w:val="toc 9"/>
    <w:basedOn w:val="a"/>
    <w:next w:val="a"/>
    <w:autoRedefine/>
    <w:semiHidden/>
    <w:unhideWhenUsed/>
    <w:rsid w:val="00E2266A"/>
    <w:pPr>
      <w:spacing w:after="100"/>
      <w:ind w:left="1360"/>
    </w:pPr>
  </w:style>
  <w:style w:type="paragraph" w:customStyle="1" w:styleId="TableHead2">
    <w:name w:val="Table Head2"/>
    <w:basedOn w:val="TableHead"/>
    <w:qFormat/>
    <w:rsid w:val="00E2266A"/>
    <w:pPr>
      <w:outlineLvl w:val="9"/>
    </w:pPr>
  </w:style>
  <w:style w:type="paragraph" w:customStyle="1" w:styleId="TableSideHeading2">
    <w:name w:val="Table SideHeading2"/>
    <w:basedOn w:val="TableSideHeading"/>
    <w:autoRedefine/>
    <w:qFormat/>
    <w:rsid w:val="00E2266A"/>
    <w:pPr>
      <w:keepLines w:val="0"/>
      <w:outlineLvl w:val="9"/>
    </w:pPr>
  </w:style>
  <w:style w:type="paragraph" w:customStyle="1" w:styleId="0">
    <w:name w:val="סגנון שורה ראשונה:  0  ס''מ"/>
    <w:basedOn w:val="2"/>
    <w:rsid w:val="00E2266A"/>
    <w:rPr>
      <w:rFonts w:eastAsia="Times New Roman"/>
    </w:rPr>
  </w:style>
  <w:style w:type="paragraph" w:styleId="af">
    <w:name w:val="List Paragraph"/>
    <w:basedOn w:val="a"/>
    <w:uiPriority w:val="34"/>
    <w:qFormat/>
    <w:rsid w:val="00E2266A"/>
    <w:pPr>
      <w:widowControl/>
      <w:spacing w:line="259" w:lineRule="auto"/>
    </w:pPr>
    <w:rPr>
      <w:rFonts w:asciiTheme="minorHAnsi" w:hAnsiTheme="minorHAnsi"/>
      <w:sz w:val="22"/>
    </w:rPr>
  </w:style>
  <w:style w:type="table" w:styleId="af0">
    <w:name w:val="Table Grid"/>
    <w:basedOn w:val="a1"/>
    <w:rsid w:val="00E22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E2266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E2266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E2266A"/>
    <w:pPr>
      <w:jc w:val="center"/>
    </w:pPr>
    <w:rPr>
      <w:rFonts w:cstheme="minorBidi"/>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E2266A"/>
    <w:tblPr/>
    <w:tblStylePr w:type="firstCol">
      <w:pPr>
        <w:keepNext w:val="0"/>
        <w:keepLines/>
        <w:pageBreakBefore w:val="0"/>
        <w:widowControl w:val="0"/>
        <w:suppressLineNumbers w:val="0"/>
        <w:suppressAutoHyphens w:val="0"/>
        <w:wordWrap/>
      </w:pPr>
    </w:tblStylePr>
  </w:style>
  <w:style w:type="paragraph" w:styleId="af2">
    <w:name w:val="Revision"/>
    <w:hidden/>
    <w:uiPriority w:val="99"/>
    <w:semiHidden/>
    <w:rsid w:val="00E72D70"/>
    <w:rPr>
      <w:rFonts w:ascii="David" w:eastAsiaTheme="minorHAnsi" w:hAnsi="David"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15795">
      <w:bodyDiv w:val="1"/>
      <w:marLeft w:val="0"/>
      <w:marRight w:val="0"/>
      <w:marTop w:val="0"/>
      <w:marBottom w:val="0"/>
      <w:divBdr>
        <w:top w:val="none" w:sz="0" w:space="0" w:color="auto"/>
        <w:left w:val="none" w:sz="0" w:space="0" w:color="auto"/>
        <w:bottom w:val="none" w:sz="0" w:space="0" w:color="auto"/>
        <w:right w:val="none" w:sz="0" w:space="0" w:color="auto"/>
      </w:divBdr>
    </w:div>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ABE13442BF316646AF5951F2A6F4E844" ma:contentTypeVersion="" ma:contentTypeDescription="צור מסמך חדש." ma:contentTypeScope="" ma:versionID="2599a629fc4dbd0c6f3d32642fd76758">
  <xsd:schema xmlns:xsd="http://www.w3.org/2001/XMLSchema" xmlns:xs="http://www.w3.org/2001/XMLSchema" xmlns:p="http://schemas.microsoft.com/office/2006/metadata/properties" targetNamespace="http://schemas.microsoft.com/office/2006/metadata/properties" ma:root="true" ma:fieldsID="6552e17932849a6e52ec7291f1d302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AFE3-9455-419C-8851-785A55F4451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78D56BFC-6EF3-48A8-AD3B-FB22241D3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48E5F1-6AB0-4275-8FD2-274AFDA6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1126</Words>
  <Characters>5634</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דפנה ברנאי</cp:lastModifiedBy>
  <cp:revision>6</cp:revision>
  <cp:lastPrinted>2013-07-04T08:25:00Z</cp:lastPrinted>
  <dcterms:created xsi:type="dcterms:W3CDTF">2015-04-20T09:58:00Z</dcterms:created>
  <dcterms:modified xsi:type="dcterms:W3CDTF">2021-05-03T08:10:00Z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0x010100ABE13442BF316646AF5951F2A6F4E844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2156293</vt:r8>
  </property>
</Properties>
</file>