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23" w:rsidRPr="00E55232" w:rsidRDefault="001477AA" w:rsidP="00464E97">
      <w:pPr>
        <w:keepNext/>
        <w:tabs>
          <w:tab w:val="center" w:pos="6605"/>
        </w:tabs>
        <w:overflowPunct w:val="0"/>
        <w:autoSpaceDE w:val="0"/>
        <w:autoSpaceDN w:val="0"/>
        <w:adjustRightInd w:val="0"/>
        <w:spacing w:after="0" w:line="360" w:lineRule="auto"/>
        <w:jc w:val="right"/>
        <w:textAlignment w:val="baseline"/>
        <w:outlineLvl w:val="0"/>
        <w:rPr>
          <w:rFonts w:ascii="Times New Roman" w:eastAsia="Times New Roman" w:hAnsi="Times New Roman" w:cs="David"/>
          <w:noProof/>
          <w:color w:val="002060"/>
        </w:rPr>
      </w:pPr>
      <w:r w:rsidRPr="00E55232">
        <w:rPr>
          <w:rFonts w:ascii="Times New Roman" w:eastAsia="Times New Roman" w:hAnsi="Times New Roman" w:cs="David" w:hint="cs"/>
          <w:noProof/>
          <w:color w:val="002060"/>
          <w:rtl/>
        </w:rPr>
        <w:t xml:space="preserve">ירושלים: </w:t>
      </w:r>
      <w:r w:rsidR="00983123" w:rsidRPr="00E55232">
        <w:rPr>
          <w:rFonts w:ascii="Times New Roman" w:eastAsia="Times New Roman" w:hAnsi="Times New Roman" w:cs="David" w:hint="cs"/>
          <w:noProof/>
          <w:color w:val="002060"/>
          <w:rtl/>
        </w:rPr>
        <w:fldChar w:fldCharType="begin"/>
      </w:r>
      <w:r w:rsidR="00983123" w:rsidRPr="00E55232">
        <w:rPr>
          <w:rFonts w:ascii="Times New Roman" w:eastAsia="Times New Roman" w:hAnsi="Times New Roman" w:cs="David" w:hint="cs"/>
          <w:noProof/>
          <w:color w:val="002060"/>
          <w:rtl/>
        </w:rPr>
        <w:instrText xml:space="preserve"> </w:instrText>
      </w:r>
      <w:r w:rsidR="00983123" w:rsidRPr="00E55232">
        <w:rPr>
          <w:rFonts w:ascii="Times New Roman" w:eastAsia="Times New Roman" w:hAnsi="Times New Roman" w:cs="David"/>
          <w:noProof/>
          <w:color w:val="002060"/>
        </w:rPr>
        <w:instrText>DOCPROPERTY  DocDateEng  \* MERGEFORMAT</w:instrText>
      </w:r>
      <w:r w:rsidR="00983123" w:rsidRPr="00E55232">
        <w:rPr>
          <w:rFonts w:ascii="Times New Roman" w:eastAsia="Times New Roman" w:hAnsi="Times New Roman" w:cs="David" w:hint="cs"/>
          <w:noProof/>
          <w:color w:val="002060"/>
          <w:rtl/>
        </w:rPr>
        <w:instrText xml:space="preserve"> </w:instrText>
      </w:r>
      <w:r w:rsidR="00983123" w:rsidRPr="00E55232">
        <w:rPr>
          <w:rFonts w:ascii="Times New Roman" w:eastAsia="Times New Roman" w:hAnsi="Times New Roman" w:cs="David" w:hint="cs"/>
          <w:noProof/>
          <w:color w:val="002060"/>
          <w:rtl/>
        </w:rPr>
        <w:fldChar w:fldCharType="separate"/>
      </w:r>
      <w:r w:rsidR="00983123" w:rsidRPr="00E55232">
        <w:rPr>
          <w:rFonts w:ascii="Times New Roman" w:eastAsia="Times New Roman" w:hAnsi="Times New Roman" w:cs="David" w:hint="cs"/>
          <w:noProof/>
          <w:color w:val="002060"/>
          <w:rtl/>
        </w:rPr>
        <w:t>26 ביולי 2021</w:t>
      </w:r>
      <w:r w:rsidR="00983123" w:rsidRPr="00E55232">
        <w:rPr>
          <w:rFonts w:ascii="Times New Roman" w:eastAsia="Times New Roman" w:hAnsi="Times New Roman" w:cs="David" w:hint="cs"/>
          <w:noProof/>
          <w:color w:val="002060"/>
          <w:rtl/>
        </w:rPr>
        <w:fldChar w:fldCharType="end"/>
      </w:r>
    </w:p>
    <w:p w:rsidR="00983123" w:rsidRPr="00E55232" w:rsidRDefault="00983123" w:rsidP="00464E97">
      <w:pPr>
        <w:keepNext/>
        <w:tabs>
          <w:tab w:val="center" w:pos="6605"/>
        </w:tabs>
        <w:overflowPunct w:val="0"/>
        <w:autoSpaceDE w:val="0"/>
        <w:autoSpaceDN w:val="0"/>
        <w:adjustRightInd w:val="0"/>
        <w:spacing w:after="0" w:line="360" w:lineRule="auto"/>
        <w:jc w:val="right"/>
        <w:textAlignment w:val="baseline"/>
        <w:outlineLvl w:val="0"/>
        <w:rPr>
          <w:rFonts w:ascii="Times New Roman" w:eastAsia="Times New Roman" w:hAnsi="Times New Roman" w:cs="David"/>
          <w:noProof/>
          <w:color w:val="002060"/>
          <w:rtl/>
        </w:rPr>
      </w:pPr>
      <w:r w:rsidRPr="00E55232">
        <w:rPr>
          <w:rFonts w:ascii="Times New Roman" w:eastAsia="Times New Roman" w:hAnsi="Times New Roman" w:cs="David" w:hint="cs"/>
          <w:noProof/>
          <w:color w:val="002060"/>
          <w:rtl/>
        </w:rPr>
        <w:t xml:space="preserve">                                                                                                   </w:t>
      </w:r>
      <w:r w:rsidRPr="00E55232">
        <w:rPr>
          <w:rFonts w:ascii="Times New Roman" w:eastAsia="Times New Roman" w:hAnsi="Times New Roman" w:cs="David" w:hint="cs"/>
          <w:noProof/>
          <w:color w:val="002060"/>
          <w:rtl/>
        </w:rPr>
        <w:fldChar w:fldCharType="begin"/>
      </w:r>
      <w:r w:rsidRPr="00E55232">
        <w:rPr>
          <w:rFonts w:ascii="Times New Roman" w:eastAsia="Times New Roman" w:hAnsi="Times New Roman" w:cs="David" w:hint="cs"/>
          <w:noProof/>
          <w:color w:val="002060"/>
          <w:rtl/>
        </w:rPr>
        <w:instrText xml:space="preserve"> </w:instrText>
      </w:r>
      <w:r w:rsidRPr="00E55232">
        <w:rPr>
          <w:rFonts w:ascii="Times New Roman" w:eastAsia="Times New Roman" w:hAnsi="Times New Roman" w:cs="David"/>
          <w:noProof/>
          <w:color w:val="002060"/>
        </w:rPr>
        <w:instrText>DOCPROPERTY  DocDateHeb  \* MERGEFORMAT</w:instrText>
      </w:r>
      <w:r w:rsidRPr="00E55232">
        <w:rPr>
          <w:rFonts w:ascii="Times New Roman" w:eastAsia="Times New Roman" w:hAnsi="Times New Roman" w:cs="David" w:hint="cs"/>
          <w:noProof/>
          <w:color w:val="002060"/>
          <w:rtl/>
        </w:rPr>
        <w:instrText xml:space="preserve"> </w:instrText>
      </w:r>
      <w:r w:rsidRPr="00E55232">
        <w:rPr>
          <w:rFonts w:ascii="Times New Roman" w:eastAsia="Times New Roman" w:hAnsi="Times New Roman" w:cs="David" w:hint="cs"/>
          <w:noProof/>
          <w:color w:val="002060"/>
          <w:rtl/>
        </w:rPr>
        <w:fldChar w:fldCharType="separate"/>
      </w:r>
      <w:r w:rsidRPr="00E55232">
        <w:rPr>
          <w:rFonts w:ascii="Times New Roman" w:eastAsia="Times New Roman" w:hAnsi="Times New Roman" w:cs="David" w:hint="cs"/>
          <w:noProof/>
          <w:color w:val="002060"/>
          <w:rtl/>
        </w:rPr>
        <w:t>י"ז באב תשפ"א</w:t>
      </w:r>
      <w:r w:rsidRPr="00E55232">
        <w:rPr>
          <w:rFonts w:ascii="Times New Roman" w:eastAsia="Times New Roman" w:hAnsi="Times New Roman" w:cs="David" w:hint="cs"/>
          <w:noProof/>
          <w:color w:val="002060"/>
          <w:rtl/>
        </w:rPr>
        <w:fldChar w:fldCharType="end"/>
      </w:r>
    </w:p>
    <w:p w:rsidR="00983123" w:rsidRPr="001477AA" w:rsidRDefault="00983123" w:rsidP="00464E97">
      <w:pPr>
        <w:keepNext/>
        <w:tabs>
          <w:tab w:val="center" w:pos="6605"/>
        </w:tabs>
        <w:overflowPunct w:val="0"/>
        <w:autoSpaceDE w:val="0"/>
        <w:autoSpaceDN w:val="0"/>
        <w:adjustRightInd w:val="0"/>
        <w:spacing w:after="0" w:line="360" w:lineRule="auto"/>
        <w:jc w:val="right"/>
        <w:textAlignment w:val="baseline"/>
        <w:outlineLvl w:val="0"/>
        <w:rPr>
          <w:rFonts w:ascii="Times New Roman" w:eastAsia="Times New Roman" w:hAnsi="Times New Roman" w:cs="David"/>
          <w:noProof/>
          <w:color w:val="002060"/>
          <w:sz w:val="24"/>
          <w:szCs w:val="24"/>
          <w:rtl/>
        </w:rPr>
      </w:pPr>
      <w:r w:rsidRPr="00E55232">
        <w:rPr>
          <w:rFonts w:ascii="Times New Roman" w:eastAsia="Times New Roman" w:hAnsi="Times New Roman" w:cs="David" w:hint="cs"/>
          <w:noProof/>
          <w:color w:val="002060"/>
          <w:rtl/>
        </w:rPr>
        <w:fldChar w:fldCharType="begin"/>
      </w:r>
      <w:r w:rsidRPr="00E55232">
        <w:rPr>
          <w:rFonts w:ascii="Times New Roman" w:eastAsia="Times New Roman" w:hAnsi="Times New Roman" w:cs="David" w:hint="cs"/>
          <w:noProof/>
          <w:color w:val="002060"/>
          <w:rtl/>
        </w:rPr>
        <w:instrText xml:space="preserve"> </w:instrText>
      </w:r>
      <w:r w:rsidRPr="00E55232">
        <w:rPr>
          <w:rFonts w:ascii="Times New Roman" w:eastAsia="Times New Roman" w:hAnsi="Times New Roman" w:cs="David"/>
          <w:noProof/>
          <w:color w:val="002060"/>
        </w:rPr>
        <w:instrText>DOCPROPERTY  DocNumber  \* MERGEFORMAT</w:instrText>
      </w:r>
      <w:r w:rsidRPr="00E55232">
        <w:rPr>
          <w:rFonts w:ascii="Times New Roman" w:eastAsia="Times New Roman" w:hAnsi="Times New Roman" w:cs="David" w:hint="cs"/>
          <w:noProof/>
          <w:color w:val="002060"/>
          <w:rtl/>
        </w:rPr>
        <w:instrText xml:space="preserve"> </w:instrText>
      </w:r>
      <w:r w:rsidRPr="00E55232">
        <w:rPr>
          <w:rFonts w:ascii="Times New Roman" w:eastAsia="Times New Roman" w:hAnsi="Times New Roman" w:cs="David" w:hint="cs"/>
          <w:noProof/>
          <w:color w:val="002060"/>
          <w:rtl/>
        </w:rPr>
        <w:fldChar w:fldCharType="separate"/>
      </w:r>
      <w:r w:rsidRPr="00E55232">
        <w:rPr>
          <w:rFonts w:ascii="Times New Roman" w:eastAsia="Times New Roman" w:hAnsi="Times New Roman" w:cs="David" w:hint="cs"/>
          <w:noProof/>
          <w:color w:val="002060"/>
          <w:rtl/>
        </w:rPr>
        <w:t>4700-1039-2021-009155</w:t>
      </w:r>
      <w:r w:rsidRPr="00E55232">
        <w:rPr>
          <w:rFonts w:ascii="Times New Roman" w:eastAsia="Times New Roman" w:hAnsi="Times New Roman" w:cs="David" w:hint="cs"/>
          <w:noProof/>
          <w:color w:val="002060"/>
          <w:rtl/>
        </w:rPr>
        <w:fldChar w:fldCharType="end"/>
      </w:r>
    </w:p>
    <w:p w:rsidR="00B16422" w:rsidRPr="00C842A7" w:rsidRDefault="00B16422" w:rsidP="00464E97">
      <w:pPr>
        <w:spacing w:line="360" w:lineRule="auto"/>
        <w:rPr>
          <w:rFonts w:ascii="David" w:hAnsi="David" w:cs="David"/>
          <w:sz w:val="24"/>
          <w:szCs w:val="24"/>
          <w:rtl/>
        </w:rPr>
      </w:pPr>
    </w:p>
    <w:p w:rsidR="00396099" w:rsidRPr="00396099" w:rsidRDefault="00396099" w:rsidP="00464E97">
      <w:pPr>
        <w:keepNext/>
        <w:tabs>
          <w:tab w:val="center" w:pos="6605"/>
        </w:tabs>
        <w:overflowPunct w:val="0"/>
        <w:autoSpaceDE w:val="0"/>
        <w:autoSpaceDN w:val="0"/>
        <w:adjustRightInd w:val="0"/>
        <w:spacing w:after="0" w:line="360" w:lineRule="auto"/>
        <w:jc w:val="center"/>
        <w:textAlignment w:val="baseline"/>
        <w:outlineLvl w:val="0"/>
        <w:rPr>
          <w:rFonts w:ascii="Times New Roman" w:eastAsia="Times New Roman" w:hAnsi="Times New Roman" w:cs="Times New Roman"/>
          <w:b/>
          <w:bCs/>
          <w:noProof/>
          <w:color w:val="002060"/>
          <w:sz w:val="28"/>
          <w:szCs w:val="28"/>
          <w:u w:val="single"/>
          <w:rtl/>
        </w:rPr>
      </w:pPr>
      <w:r w:rsidRPr="00396099">
        <w:rPr>
          <w:rFonts w:ascii="Times New Roman" w:eastAsia="Times New Roman" w:hAnsi="Times New Roman" w:cs="Times New Roman"/>
          <w:b/>
          <w:bCs/>
          <w:noProof/>
          <w:color w:val="002060"/>
          <w:sz w:val="28"/>
          <w:szCs w:val="28"/>
          <w:u w:val="single"/>
          <w:rtl/>
        </w:rPr>
        <w:t>הודעה לעיתונות</w:t>
      </w:r>
    </w:p>
    <w:p w:rsidR="00B24DF5" w:rsidRDefault="00B24DF5" w:rsidP="00464E97">
      <w:pPr>
        <w:spacing w:line="360" w:lineRule="auto"/>
        <w:jc w:val="center"/>
        <w:rPr>
          <w:rFonts w:cs="David"/>
          <w:b/>
          <w:bCs/>
          <w:sz w:val="24"/>
          <w:szCs w:val="24"/>
          <w:u w:val="single"/>
          <w:rtl/>
        </w:rPr>
      </w:pPr>
    </w:p>
    <w:p w:rsidR="00970EAE" w:rsidRPr="00970EAE" w:rsidRDefault="00970EAE" w:rsidP="00464E97">
      <w:pPr>
        <w:spacing w:line="360" w:lineRule="auto"/>
        <w:jc w:val="center"/>
        <w:rPr>
          <w:rFonts w:cs="David"/>
          <w:b/>
          <w:bCs/>
          <w:sz w:val="24"/>
          <w:szCs w:val="24"/>
          <w:u w:val="single"/>
          <w:rtl/>
        </w:rPr>
      </w:pPr>
      <w:r w:rsidRPr="00970EAE">
        <w:rPr>
          <w:rFonts w:cs="David" w:hint="cs"/>
          <w:b/>
          <w:bCs/>
          <w:sz w:val="24"/>
          <w:szCs w:val="24"/>
          <w:u w:val="single"/>
          <w:rtl/>
        </w:rPr>
        <w:t>מהו ה</w:t>
      </w:r>
      <w:r w:rsidRPr="00970EAE">
        <w:rPr>
          <w:rFonts w:cs="David"/>
          <w:b/>
          <w:bCs/>
          <w:sz w:val="24"/>
          <w:szCs w:val="24"/>
          <w:u w:val="single"/>
          <w:rtl/>
        </w:rPr>
        <w:t xml:space="preserve">זמן </w:t>
      </w:r>
      <w:r w:rsidRPr="00970EAE">
        <w:rPr>
          <w:rFonts w:cs="David" w:hint="cs"/>
          <w:b/>
          <w:bCs/>
          <w:sz w:val="24"/>
          <w:szCs w:val="24"/>
          <w:u w:val="single"/>
          <w:rtl/>
        </w:rPr>
        <w:t>ה</w:t>
      </w:r>
      <w:r w:rsidRPr="00970EAE">
        <w:rPr>
          <w:rFonts w:cs="David"/>
          <w:b/>
          <w:bCs/>
          <w:sz w:val="24"/>
          <w:szCs w:val="24"/>
          <w:u w:val="single"/>
          <w:rtl/>
        </w:rPr>
        <w:t xml:space="preserve">שיפוטי </w:t>
      </w:r>
      <w:r w:rsidRPr="00970EAE">
        <w:rPr>
          <w:rFonts w:cs="David" w:hint="cs"/>
          <w:b/>
          <w:bCs/>
          <w:sz w:val="24"/>
          <w:szCs w:val="24"/>
          <w:u w:val="single"/>
          <w:rtl/>
        </w:rPr>
        <w:t>ה</w:t>
      </w:r>
      <w:r w:rsidRPr="00970EAE">
        <w:rPr>
          <w:rFonts w:cs="David"/>
          <w:b/>
          <w:bCs/>
          <w:sz w:val="24"/>
          <w:szCs w:val="24"/>
          <w:u w:val="single"/>
          <w:rtl/>
        </w:rPr>
        <w:t>דרוש</w:t>
      </w:r>
      <w:r w:rsidRPr="00970EAE">
        <w:rPr>
          <w:rFonts w:cs="David" w:hint="cs"/>
          <w:b/>
          <w:bCs/>
          <w:sz w:val="24"/>
          <w:szCs w:val="24"/>
          <w:u w:val="single"/>
          <w:rtl/>
        </w:rPr>
        <w:t xml:space="preserve"> בממוצע</w:t>
      </w:r>
      <w:r w:rsidRPr="00970EAE">
        <w:rPr>
          <w:rFonts w:cs="David"/>
          <w:b/>
          <w:bCs/>
          <w:sz w:val="24"/>
          <w:szCs w:val="24"/>
          <w:u w:val="single"/>
          <w:rtl/>
        </w:rPr>
        <w:t xml:space="preserve"> לטיפול בתיק פלילי מסוג פשע חמור המתנהל בבית המשפט המחוזי</w:t>
      </w:r>
      <w:r w:rsidRPr="00970EAE">
        <w:rPr>
          <w:rFonts w:cs="David" w:hint="cs"/>
          <w:b/>
          <w:bCs/>
          <w:sz w:val="24"/>
          <w:szCs w:val="24"/>
          <w:u w:val="single"/>
          <w:rtl/>
        </w:rPr>
        <w:t>? האם הוא דומה לזמן שנדרש לניהול תביעה כספית? כמה תיקים בהליכים שונים נסגרו בשנת 2019? ואיך כל זה משפיע על היקפי העבודה במערכת בתי המשפט והעומס הרגשי והנפשי המוטל על כתפי השופטים...</w:t>
      </w:r>
    </w:p>
    <w:p w:rsidR="00970EAE" w:rsidRPr="00970EAE" w:rsidRDefault="00970EAE" w:rsidP="00464E97">
      <w:pPr>
        <w:spacing w:line="360" w:lineRule="auto"/>
        <w:jc w:val="center"/>
        <w:rPr>
          <w:rFonts w:cs="David"/>
          <w:b/>
          <w:bCs/>
          <w:sz w:val="24"/>
          <w:szCs w:val="24"/>
          <w:rtl/>
        </w:rPr>
      </w:pPr>
      <w:r w:rsidRPr="00970EAE">
        <w:rPr>
          <w:rFonts w:cs="David" w:hint="cs"/>
          <w:b/>
          <w:bCs/>
          <w:sz w:val="24"/>
          <w:szCs w:val="24"/>
          <w:rtl/>
        </w:rPr>
        <w:t>***</w:t>
      </w:r>
    </w:p>
    <w:p w:rsidR="00970EAE" w:rsidRPr="00970EAE" w:rsidRDefault="00970EAE" w:rsidP="00464E97">
      <w:pPr>
        <w:spacing w:line="360" w:lineRule="auto"/>
        <w:jc w:val="center"/>
        <w:rPr>
          <w:rFonts w:cs="David"/>
          <w:b/>
          <w:bCs/>
          <w:sz w:val="24"/>
          <w:szCs w:val="24"/>
          <w:rtl/>
        </w:rPr>
      </w:pPr>
      <w:r w:rsidRPr="00970EAE">
        <w:rPr>
          <w:rFonts w:cs="David" w:hint="cs"/>
          <w:b/>
          <w:bCs/>
          <w:sz w:val="24"/>
          <w:szCs w:val="24"/>
          <w:rtl/>
        </w:rPr>
        <w:t>התשובות לכל אלה ועוד ב</w:t>
      </w:r>
      <w:r w:rsidRPr="00970EAE">
        <w:rPr>
          <w:rFonts w:cs="David"/>
          <w:b/>
          <w:bCs/>
          <w:sz w:val="24"/>
          <w:szCs w:val="24"/>
          <w:rtl/>
        </w:rPr>
        <w:t xml:space="preserve">מחקר </w:t>
      </w:r>
      <w:r w:rsidRPr="00970EAE">
        <w:rPr>
          <w:rFonts w:cs="David" w:hint="cs"/>
          <w:b/>
          <w:bCs/>
          <w:sz w:val="24"/>
          <w:szCs w:val="24"/>
          <w:rtl/>
        </w:rPr>
        <w:t>חדש של מחלקת המחקר של הרשות השופטת</w:t>
      </w:r>
    </w:p>
    <w:p w:rsidR="00970EAE" w:rsidRPr="00970EAE" w:rsidRDefault="00970EAE" w:rsidP="00464E97">
      <w:pPr>
        <w:spacing w:after="0" w:line="360" w:lineRule="auto"/>
        <w:jc w:val="center"/>
        <w:rPr>
          <w:rFonts w:cs="David"/>
          <w:b/>
          <w:bCs/>
          <w:sz w:val="24"/>
          <w:szCs w:val="24"/>
          <w:rtl/>
        </w:rPr>
      </w:pPr>
      <w:r w:rsidRPr="00970EAE">
        <w:rPr>
          <w:rFonts w:cs="David" w:hint="cs"/>
          <w:b/>
          <w:bCs/>
          <w:sz w:val="24"/>
          <w:szCs w:val="24"/>
          <w:rtl/>
        </w:rPr>
        <w:t>"עומס העבודה השיפוטית במערכת בתי המשפט בישראל"</w:t>
      </w:r>
    </w:p>
    <w:p w:rsidR="00B24DF5" w:rsidRDefault="00B24DF5" w:rsidP="00464E97">
      <w:pPr>
        <w:spacing w:after="0" w:line="360" w:lineRule="auto"/>
        <w:jc w:val="both"/>
        <w:rPr>
          <w:rFonts w:cs="David"/>
          <w:sz w:val="24"/>
          <w:szCs w:val="24"/>
          <w:rtl/>
        </w:rPr>
      </w:pPr>
    </w:p>
    <w:p w:rsidR="00970EAE" w:rsidRPr="00970EAE" w:rsidRDefault="00970EAE" w:rsidP="00464E97">
      <w:pPr>
        <w:spacing w:after="0" w:line="360" w:lineRule="auto"/>
        <w:jc w:val="both"/>
        <w:rPr>
          <w:rFonts w:cs="David"/>
          <w:sz w:val="24"/>
          <w:szCs w:val="24"/>
          <w:rtl/>
        </w:rPr>
      </w:pPr>
      <w:r w:rsidRPr="00970EAE">
        <w:rPr>
          <w:rFonts w:cs="David" w:hint="cs"/>
          <w:sz w:val="24"/>
          <w:szCs w:val="24"/>
          <w:rtl/>
        </w:rPr>
        <w:t xml:space="preserve">היקפי עבודה </w:t>
      </w:r>
      <w:r w:rsidRPr="00970EAE">
        <w:rPr>
          <w:rFonts w:cs="David"/>
          <w:sz w:val="24"/>
          <w:szCs w:val="24"/>
          <w:rtl/>
        </w:rPr>
        <w:t>כבד</w:t>
      </w:r>
      <w:r w:rsidRPr="00970EAE">
        <w:rPr>
          <w:rFonts w:cs="David" w:hint="cs"/>
          <w:sz w:val="24"/>
          <w:szCs w:val="24"/>
          <w:rtl/>
        </w:rPr>
        <w:t>ים</w:t>
      </w:r>
      <w:r w:rsidRPr="00970EAE">
        <w:rPr>
          <w:rFonts w:cs="David"/>
          <w:sz w:val="24"/>
          <w:szCs w:val="24"/>
          <w:rtl/>
        </w:rPr>
        <w:t xml:space="preserve"> ומשמעותי</w:t>
      </w:r>
      <w:r w:rsidRPr="00970EAE">
        <w:rPr>
          <w:rFonts w:cs="David" w:hint="cs"/>
          <w:sz w:val="24"/>
          <w:szCs w:val="24"/>
          <w:rtl/>
        </w:rPr>
        <w:t>ים</w:t>
      </w:r>
      <w:r w:rsidRPr="00970EAE">
        <w:rPr>
          <w:rFonts w:cs="David"/>
          <w:sz w:val="24"/>
          <w:szCs w:val="24"/>
          <w:rtl/>
        </w:rPr>
        <w:t xml:space="preserve"> יותר בהשוואה למדינות אחרות בעולם</w:t>
      </w:r>
      <w:r w:rsidRPr="00970EAE">
        <w:rPr>
          <w:rFonts w:cs="David" w:hint="cs"/>
          <w:sz w:val="24"/>
          <w:szCs w:val="24"/>
          <w:rtl/>
        </w:rPr>
        <w:t>,</w:t>
      </w:r>
      <w:r w:rsidRPr="00970EAE">
        <w:rPr>
          <w:rFonts w:cs="David"/>
          <w:sz w:val="24"/>
          <w:szCs w:val="24"/>
          <w:rtl/>
        </w:rPr>
        <w:t xml:space="preserve"> כמויות תיקים עצומות, תקינה חסרה, שעות עבודה ארוכות</w:t>
      </w:r>
      <w:r w:rsidRPr="00970EAE">
        <w:rPr>
          <w:rFonts w:cs="David" w:hint="cs"/>
          <w:sz w:val="24"/>
          <w:szCs w:val="24"/>
          <w:rtl/>
        </w:rPr>
        <w:t>,</w:t>
      </w:r>
      <w:r w:rsidRPr="00970EAE">
        <w:rPr>
          <w:rFonts w:cs="David"/>
          <w:sz w:val="24"/>
          <w:szCs w:val="24"/>
          <w:rtl/>
        </w:rPr>
        <w:t xml:space="preserve"> חוסר איזון בין עבודה לחיים פרטיים</w:t>
      </w:r>
      <w:r w:rsidRPr="00970EAE">
        <w:rPr>
          <w:rFonts w:cs="David" w:hint="cs"/>
          <w:sz w:val="24"/>
          <w:szCs w:val="24"/>
          <w:rtl/>
        </w:rPr>
        <w:t>,</w:t>
      </w:r>
      <w:r w:rsidRPr="00970EAE">
        <w:rPr>
          <w:rFonts w:cs="David"/>
          <w:sz w:val="24"/>
          <w:szCs w:val="24"/>
          <w:rtl/>
        </w:rPr>
        <w:t xml:space="preserve"> </w:t>
      </w:r>
      <w:r w:rsidRPr="00970EAE">
        <w:rPr>
          <w:rFonts w:cs="David" w:hint="cs"/>
          <w:sz w:val="24"/>
          <w:szCs w:val="24"/>
          <w:rtl/>
        </w:rPr>
        <w:t>ע</w:t>
      </w:r>
      <w:r w:rsidRPr="00970EAE">
        <w:rPr>
          <w:rFonts w:cs="David"/>
          <w:sz w:val="24"/>
          <w:szCs w:val="24"/>
          <w:rtl/>
        </w:rPr>
        <w:t>ומס רגשי</w:t>
      </w:r>
      <w:r w:rsidRPr="00970EAE">
        <w:rPr>
          <w:rFonts w:cs="David" w:hint="cs"/>
          <w:sz w:val="24"/>
          <w:szCs w:val="24"/>
          <w:rtl/>
        </w:rPr>
        <w:t xml:space="preserve"> ועוד. כל אלו באים לידי ביטוי במחקר חדש ומקיף שערכה מחלקת המחקר של הרשות השופטת בראשות ד"ר גלי אביב ופורסם היום. המחקר נועד </w:t>
      </w:r>
      <w:r w:rsidRPr="00970EAE">
        <w:rPr>
          <w:rFonts w:cs="David"/>
          <w:sz w:val="24"/>
          <w:szCs w:val="24"/>
          <w:rtl/>
        </w:rPr>
        <w:t xml:space="preserve">לאמוד </w:t>
      </w:r>
      <w:r w:rsidRPr="00970EAE">
        <w:rPr>
          <w:rFonts w:cs="David" w:hint="cs"/>
          <w:sz w:val="24"/>
          <w:szCs w:val="24"/>
          <w:rtl/>
        </w:rPr>
        <w:t>את</w:t>
      </w:r>
      <w:r w:rsidRPr="00970EAE">
        <w:rPr>
          <w:rFonts w:cs="David"/>
          <w:sz w:val="24"/>
          <w:szCs w:val="24"/>
          <w:rtl/>
        </w:rPr>
        <w:t xml:space="preserve"> </w:t>
      </w:r>
      <w:r w:rsidRPr="00970EAE">
        <w:rPr>
          <w:rFonts w:cs="David" w:hint="cs"/>
          <w:sz w:val="24"/>
          <w:szCs w:val="24"/>
          <w:rtl/>
        </w:rPr>
        <w:t>היקף</w:t>
      </w:r>
      <w:r w:rsidRPr="00970EAE">
        <w:rPr>
          <w:rFonts w:cs="David"/>
          <w:sz w:val="24"/>
          <w:szCs w:val="24"/>
          <w:rtl/>
        </w:rPr>
        <w:t xml:space="preserve"> העבודה השיפוטית במערכת בתי המשפט בישראל</w:t>
      </w:r>
      <w:r w:rsidRPr="00970EAE">
        <w:rPr>
          <w:rFonts w:cs="David" w:hint="cs"/>
          <w:sz w:val="24"/>
          <w:szCs w:val="24"/>
          <w:rtl/>
        </w:rPr>
        <w:t xml:space="preserve">, באמצעות מדידת </w:t>
      </w:r>
      <w:r w:rsidRPr="00970EAE">
        <w:rPr>
          <w:rFonts w:cs="David"/>
          <w:sz w:val="24"/>
          <w:szCs w:val="24"/>
          <w:rtl/>
        </w:rPr>
        <w:t xml:space="preserve"> משך הזמן השיפוטי הממוצע הנדרש לטיפול בתיק, על כל שלביו – הכנה לדיונים, שמיעת דיונים וכתיבת ההחלטות ופסק הדין בתיק.</w:t>
      </w:r>
    </w:p>
    <w:p w:rsidR="00B24DF5" w:rsidRDefault="00B24DF5" w:rsidP="00464E97">
      <w:pPr>
        <w:spacing w:after="0" w:line="360" w:lineRule="auto"/>
        <w:jc w:val="both"/>
        <w:rPr>
          <w:rFonts w:cs="David"/>
          <w:sz w:val="24"/>
          <w:szCs w:val="24"/>
          <w:rtl/>
        </w:rPr>
      </w:pPr>
    </w:p>
    <w:p w:rsidR="00970EAE" w:rsidRPr="00970EAE" w:rsidRDefault="00970EAE" w:rsidP="00464E97">
      <w:pPr>
        <w:spacing w:after="0" w:line="360" w:lineRule="auto"/>
        <w:jc w:val="both"/>
        <w:rPr>
          <w:rFonts w:cs="David"/>
          <w:sz w:val="24"/>
          <w:szCs w:val="24"/>
          <w:rtl/>
        </w:rPr>
      </w:pPr>
      <w:r w:rsidRPr="00970EAE">
        <w:rPr>
          <w:rFonts w:cs="David"/>
          <w:sz w:val="24"/>
          <w:szCs w:val="24"/>
          <w:rtl/>
        </w:rPr>
        <w:t>המחקר הניח שני תוצרים עיקריים: האחד, משך הזמן השיפוטי הדרוש בממוצע לטיפול בסוגי התיקים השונים הקיימים במערכת, בחלוקה לערכאות השונות; השני, תמהיל יום העבודה השיפוטי הממוצע, לרבות זמני הפעולות השיפוטיות השונות הנוגעות לטיפול בתיקים, וכן פעילות שיפוטית נוספת מלבד זו המוקדשת לטובת טיפול בתיקים.</w:t>
      </w:r>
      <w:r w:rsidRPr="00970EAE">
        <w:rPr>
          <w:rFonts w:cs="David" w:hint="cs"/>
          <w:sz w:val="24"/>
          <w:szCs w:val="24"/>
          <w:rtl/>
        </w:rPr>
        <w:t xml:space="preserve"> </w:t>
      </w:r>
    </w:p>
    <w:p w:rsidR="00B24DF5" w:rsidRDefault="00B24DF5" w:rsidP="00464E97">
      <w:pPr>
        <w:spacing w:after="0" w:line="360" w:lineRule="auto"/>
        <w:jc w:val="both"/>
        <w:rPr>
          <w:rFonts w:cs="David"/>
          <w:sz w:val="24"/>
          <w:szCs w:val="24"/>
          <w:rtl/>
        </w:rPr>
      </w:pPr>
    </w:p>
    <w:p w:rsidR="00970EAE" w:rsidRPr="00970EAE" w:rsidRDefault="00970EAE" w:rsidP="00464E97">
      <w:pPr>
        <w:spacing w:after="0" w:line="360" w:lineRule="auto"/>
        <w:jc w:val="both"/>
        <w:rPr>
          <w:rFonts w:cs="David"/>
          <w:sz w:val="24"/>
          <w:szCs w:val="24"/>
          <w:rtl/>
        </w:rPr>
      </w:pPr>
      <w:r w:rsidRPr="00970EAE">
        <w:rPr>
          <w:rFonts w:cs="David"/>
          <w:sz w:val="24"/>
          <w:szCs w:val="24"/>
          <w:rtl/>
        </w:rPr>
        <w:t>לראשונה בישראל נערך המחקר בדרך של מדידת זמנים בזמן אמת</w:t>
      </w:r>
      <w:r w:rsidRPr="00970EAE">
        <w:rPr>
          <w:rFonts w:cs="David" w:hint="cs"/>
          <w:sz w:val="24"/>
          <w:szCs w:val="24"/>
          <w:rtl/>
        </w:rPr>
        <w:t xml:space="preserve"> במשך חמישה שבועות.</w:t>
      </w:r>
      <w:r w:rsidRPr="00970EAE">
        <w:rPr>
          <w:rFonts w:cs="David"/>
          <w:sz w:val="24"/>
          <w:szCs w:val="24"/>
          <w:rtl/>
        </w:rPr>
        <w:t xml:space="preserve"> במסגרת </w:t>
      </w:r>
      <w:r w:rsidRPr="00970EAE">
        <w:rPr>
          <w:rFonts w:cs="David" w:hint="cs"/>
          <w:sz w:val="24"/>
          <w:szCs w:val="24"/>
          <w:rtl/>
        </w:rPr>
        <w:t>ה</w:t>
      </w:r>
      <w:r w:rsidRPr="00970EAE">
        <w:rPr>
          <w:rFonts w:cs="David"/>
          <w:sz w:val="24"/>
          <w:szCs w:val="24"/>
          <w:rtl/>
        </w:rPr>
        <w:t xml:space="preserve">מחקר </w:t>
      </w:r>
      <w:r w:rsidRPr="00970EAE">
        <w:rPr>
          <w:rFonts w:cs="David" w:hint="cs"/>
          <w:sz w:val="24"/>
          <w:szCs w:val="24"/>
          <w:rtl/>
        </w:rPr>
        <w:t>מוצגים</w:t>
      </w:r>
      <w:r w:rsidRPr="00970EAE">
        <w:rPr>
          <w:rFonts w:cs="David"/>
          <w:sz w:val="24"/>
          <w:szCs w:val="24"/>
          <w:rtl/>
        </w:rPr>
        <w:t xml:space="preserve"> הזמנים השיפוטיים הממוצעים שנמדדו ביחס ל-125 סוגי תיקים ועוד 24 סוגי עניין ייחודיים, הנשמעים בבתי המשפט המחוזיים, בתי משפט השלום, בתי המשפט לתעבורה, בתי המשפט ל</w:t>
      </w:r>
      <w:r w:rsidRPr="00970EAE">
        <w:rPr>
          <w:rFonts w:cs="David" w:hint="cs"/>
          <w:sz w:val="24"/>
          <w:szCs w:val="24"/>
          <w:rtl/>
        </w:rPr>
        <w:t xml:space="preserve">ענייני </w:t>
      </w:r>
      <w:r w:rsidRPr="00970EAE">
        <w:rPr>
          <w:rFonts w:cs="David"/>
          <w:sz w:val="24"/>
          <w:szCs w:val="24"/>
          <w:rtl/>
        </w:rPr>
        <w:t xml:space="preserve">משפחה ובתי המשפט לנוער. 125 סוגי תיקים אלו משקפים כמעט 99% מכלל התיקים אשר נסגרו במערכת המשפט בשנת 2019 בבתי המשפט האמורים. </w:t>
      </w:r>
      <w:r w:rsidRPr="00970EAE">
        <w:rPr>
          <w:rFonts w:cs="David" w:hint="cs"/>
          <w:sz w:val="24"/>
          <w:szCs w:val="24"/>
          <w:rtl/>
        </w:rPr>
        <w:t>לזה מתווסף זמן העבודה השיפוטית של 18 סוגי תיקים ועוד שני סוגי עניין ייחודיים הנשמעים בבתי הדין האזוריים לעבודה.</w:t>
      </w:r>
    </w:p>
    <w:p w:rsidR="00970EAE" w:rsidRDefault="00970EAE" w:rsidP="00464E97">
      <w:pPr>
        <w:spacing w:after="0" w:line="360" w:lineRule="auto"/>
        <w:jc w:val="both"/>
        <w:rPr>
          <w:rFonts w:cs="David"/>
          <w:sz w:val="24"/>
          <w:szCs w:val="24"/>
          <w:rtl/>
        </w:rPr>
      </w:pPr>
    </w:p>
    <w:p w:rsidR="00970EAE" w:rsidRDefault="00970EAE" w:rsidP="00464E97">
      <w:pPr>
        <w:spacing w:after="0" w:line="360" w:lineRule="auto"/>
        <w:jc w:val="both"/>
        <w:rPr>
          <w:rFonts w:cs="David"/>
          <w:sz w:val="24"/>
          <w:szCs w:val="24"/>
          <w:rtl/>
        </w:rPr>
      </w:pPr>
      <w:r w:rsidRPr="00970EAE">
        <w:rPr>
          <w:rFonts w:cs="David" w:hint="cs"/>
          <w:sz w:val="24"/>
          <w:szCs w:val="24"/>
          <w:rtl/>
        </w:rPr>
        <w:lastRenderedPageBreak/>
        <w:t xml:space="preserve">מן המחקר עולה כי </w:t>
      </w:r>
      <w:r w:rsidRPr="00970EAE">
        <w:rPr>
          <w:rFonts w:cs="David"/>
          <w:sz w:val="24"/>
          <w:szCs w:val="24"/>
          <w:rtl/>
        </w:rPr>
        <w:t>התיקים בעלי המשקל הרב ביותר הנמצאים בראש הרשימה בפער ניכר מכל יתר סוגי התיקים הם תיקי פשע חמור המתנהלים בהרכב בביהמ"ש המחוזי</w:t>
      </w:r>
      <w:r w:rsidRPr="00970EAE">
        <w:rPr>
          <w:rFonts w:cs="David" w:hint="cs"/>
          <w:sz w:val="24"/>
          <w:szCs w:val="24"/>
          <w:rtl/>
        </w:rPr>
        <w:t>,</w:t>
      </w:r>
      <w:r w:rsidRPr="00970EAE">
        <w:rPr>
          <w:rFonts w:cs="David"/>
          <w:sz w:val="24"/>
          <w:szCs w:val="24"/>
          <w:rtl/>
        </w:rPr>
        <w:t xml:space="preserve"> שמשך הזמן השיפוטי הממוצע </w:t>
      </w:r>
      <w:r w:rsidRPr="00970EAE">
        <w:rPr>
          <w:rFonts w:cs="David" w:hint="cs"/>
          <w:sz w:val="24"/>
          <w:szCs w:val="24"/>
          <w:rtl/>
        </w:rPr>
        <w:t>שנמדד לגביהם עומד על</w:t>
      </w:r>
      <w:r w:rsidRPr="00970EAE">
        <w:rPr>
          <w:rFonts w:cs="David"/>
          <w:sz w:val="24"/>
          <w:szCs w:val="24"/>
          <w:rtl/>
        </w:rPr>
        <w:t xml:space="preserve"> 148:41 שעות. לאחר</w:t>
      </w:r>
      <w:r w:rsidRPr="00970EAE">
        <w:rPr>
          <w:rFonts w:cs="David" w:hint="cs"/>
          <w:sz w:val="24"/>
          <w:szCs w:val="24"/>
          <w:rtl/>
        </w:rPr>
        <w:t>יהם</w:t>
      </w:r>
      <w:r w:rsidRPr="00970EAE">
        <w:rPr>
          <w:rFonts w:cs="David"/>
          <w:sz w:val="24"/>
          <w:szCs w:val="24"/>
          <w:rtl/>
        </w:rPr>
        <w:t xml:space="preserve"> מדורגים תיקי תובענות ייצוגיות המתנהלים בבתי הדין לעבודה, אשר הזמן השיפוטי הממוצע </w:t>
      </w:r>
      <w:r w:rsidRPr="00970EAE">
        <w:rPr>
          <w:rFonts w:cs="David" w:hint="cs"/>
          <w:sz w:val="24"/>
          <w:szCs w:val="24"/>
          <w:rtl/>
        </w:rPr>
        <w:t xml:space="preserve">שנמדד </w:t>
      </w:r>
      <w:r w:rsidRPr="00970EAE">
        <w:rPr>
          <w:rFonts w:cs="David"/>
          <w:sz w:val="24"/>
          <w:szCs w:val="24"/>
          <w:rtl/>
        </w:rPr>
        <w:t xml:space="preserve">לטיפול בהם </w:t>
      </w:r>
      <w:r w:rsidRPr="00970EAE">
        <w:rPr>
          <w:rFonts w:cs="David" w:hint="cs"/>
          <w:sz w:val="24"/>
          <w:szCs w:val="24"/>
          <w:rtl/>
        </w:rPr>
        <w:t>עומד על</w:t>
      </w:r>
      <w:r w:rsidRPr="00970EAE">
        <w:rPr>
          <w:rFonts w:cs="David"/>
          <w:sz w:val="24"/>
          <w:szCs w:val="24"/>
          <w:rtl/>
        </w:rPr>
        <w:t xml:space="preserve"> 45:41 </w:t>
      </w:r>
    </w:p>
    <w:p w:rsidR="00970EAE" w:rsidRDefault="00970EAE" w:rsidP="00464E97">
      <w:pPr>
        <w:spacing w:after="0" w:line="360" w:lineRule="auto"/>
        <w:jc w:val="both"/>
        <w:rPr>
          <w:rFonts w:cs="David"/>
          <w:sz w:val="24"/>
          <w:szCs w:val="24"/>
          <w:rtl/>
        </w:rPr>
      </w:pPr>
    </w:p>
    <w:p w:rsidR="00970EAE" w:rsidRPr="00970EAE" w:rsidRDefault="00970EAE" w:rsidP="00464E97">
      <w:pPr>
        <w:spacing w:after="0" w:line="360" w:lineRule="auto"/>
        <w:jc w:val="both"/>
        <w:rPr>
          <w:rFonts w:cs="David"/>
          <w:sz w:val="24"/>
          <w:szCs w:val="24"/>
          <w:rtl/>
        </w:rPr>
      </w:pPr>
      <w:r w:rsidRPr="00970EAE">
        <w:rPr>
          <w:rFonts w:cs="David"/>
          <w:sz w:val="24"/>
          <w:szCs w:val="24"/>
          <w:rtl/>
        </w:rPr>
        <w:t>שעות</w:t>
      </w:r>
      <w:r w:rsidRPr="00970EAE">
        <w:rPr>
          <w:rFonts w:cs="David" w:hint="cs"/>
          <w:sz w:val="24"/>
          <w:szCs w:val="24"/>
          <w:rtl/>
        </w:rPr>
        <w:t>.</w:t>
      </w:r>
      <w:r w:rsidRPr="00970EAE">
        <w:rPr>
          <w:rFonts w:cs="David"/>
          <w:sz w:val="24"/>
          <w:szCs w:val="24"/>
          <w:rtl/>
        </w:rPr>
        <w:t xml:space="preserve"> </w:t>
      </w:r>
      <w:r w:rsidRPr="00970EAE">
        <w:rPr>
          <w:rFonts w:cs="David" w:hint="cs"/>
          <w:sz w:val="24"/>
          <w:szCs w:val="24"/>
          <w:rtl/>
        </w:rPr>
        <w:t xml:space="preserve">משך זמן הטיפול השיפוטי שנמדד לגבי </w:t>
      </w:r>
      <w:r w:rsidRPr="00970EAE">
        <w:rPr>
          <w:rFonts w:cs="David"/>
          <w:sz w:val="24"/>
          <w:szCs w:val="24"/>
          <w:rtl/>
        </w:rPr>
        <w:t xml:space="preserve">תיק אזרחי בתביעה כספית </w:t>
      </w:r>
      <w:r w:rsidRPr="00970EAE">
        <w:rPr>
          <w:rFonts w:cs="David" w:hint="cs"/>
          <w:sz w:val="24"/>
          <w:szCs w:val="24"/>
          <w:rtl/>
        </w:rPr>
        <w:t xml:space="preserve">המתנהל </w:t>
      </w:r>
      <w:r w:rsidRPr="00970EAE">
        <w:rPr>
          <w:rFonts w:cs="David"/>
          <w:sz w:val="24"/>
          <w:szCs w:val="24"/>
          <w:rtl/>
        </w:rPr>
        <w:t xml:space="preserve">בסדר דין רגיל בביהמ"ש המחוזי </w:t>
      </w:r>
      <w:r w:rsidRPr="00970EAE">
        <w:rPr>
          <w:rFonts w:cs="David" w:hint="cs"/>
          <w:sz w:val="24"/>
          <w:szCs w:val="24"/>
          <w:rtl/>
        </w:rPr>
        <w:t>עומד בממוצע על</w:t>
      </w:r>
      <w:r w:rsidRPr="00970EAE">
        <w:rPr>
          <w:rFonts w:cs="David"/>
          <w:sz w:val="24"/>
          <w:szCs w:val="24"/>
          <w:rtl/>
        </w:rPr>
        <w:t xml:space="preserve"> 36:17 שעות.</w:t>
      </w:r>
      <w:r w:rsidRPr="00970EAE">
        <w:rPr>
          <w:rFonts w:cs="David" w:hint="cs"/>
          <w:sz w:val="24"/>
          <w:szCs w:val="24"/>
          <w:rtl/>
        </w:rPr>
        <w:t xml:space="preserve"> כך ממשיך המחקר ומונה 167 סוגי הליכים.</w:t>
      </w:r>
    </w:p>
    <w:p w:rsidR="00B24DF5" w:rsidRDefault="00B24DF5" w:rsidP="009E2587">
      <w:pPr>
        <w:spacing w:after="0" w:line="360" w:lineRule="auto"/>
        <w:jc w:val="both"/>
        <w:rPr>
          <w:rFonts w:cs="David"/>
          <w:sz w:val="24"/>
          <w:szCs w:val="24"/>
          <w:rtl/>
        </w:rPr>
      </w:pPr>
    </w:p>
    <w:p w:rsidR="00970EAE" w:rsidRPr="00970EAE" w:rsidRDefault="009E2587" w:rsidP="009E2587">
      <w:pPr>
        <w:spacing w:after="0" w:line="360" w:lineRule="auto"/>
        <w:jc w:val="both"/>
        <w:rPr>
          <w:rFonts w:cs="David"/>
          <w:sz w:val="24"/>
          <w:szCs w:val="24"/>
          <w:rtl/>
        </w:rPr>
      </w:pPr>
      <w:r>
        <w:rPr>
          <w:rFonts w:cs="David" w:hint="cs"/>
          <w:sz w:val="24"/>
          <w:szCs w:val="24"/>
          <w:rtl/>
        </w:rPr>
        <w:t>לדברי נשיאת בית המשפט העליון השופטת אסתר חיות ומנהל בתי</w:t>
      </w:r>
      <w:r w:rsidR="00970EAE" w:rsidRPr="00970EAE">
        <w:rPr>
          <w:rFonts w:cs="David"/>
          <w:sz w:val="24"/>
          <w:szCs w:val="24"/>
          <w:rtl/>
        </w:rPr>
        <w:t xml:space="preserve"> המשפט השופט ד"ר יגאל </w:t>
      </w:r>
      <w:proofErr w:type="spellStart"/>
      <w:r w:rsidR="00970EAE" w:rsidRPr="00970EAE">
        <w:rPr>
          <w:rFonts w:cs="David"/>
          <w:sz w:val="24"/>
          <w:szCs w:val="24"/>
          <w:rtl/>
        </w:rPr>
        <w:t>מרזל</w:t>
      </w:r>
      <w:proofErr w:type="spellEnd"/>
      <w:r w:rsidR="00970EAE" w:rsidRPr="00970EAE">
        <w:rPr>
          <w:rFonts w:cs="David"/>
          <w:sz w:val="24"/>
          <w:szCs w:val="24"/>
          <w:rtl/>
        </w:rPr>
        <w:t xml:space="preserve">: "הקלת עומס העבודה השיפוטית בישראל הכרחית לצורך הבטחת זכות הגישה לערכאות, הזכות למשפט הוגן, והגנה מפני עינוי דין אשר בא לידי ביטוי בהתמשכות ההליכים המשפטיים. </w:t>
      </w:r>
      <w:r w:rsidR="00970EAE" w:rsidRPr="00970EAE">
        <w:rPr>
          <w:rFonts w:cs="David" w:hint="cs"/>
          <w:sz w:val="24"/>
          <w:szCs w:val="24"/>
          <w:rtl/>
        </w:rPr>
        <w:t>בכל המדדים הבינלאומיים הרלבנטיים מצויה תקינת השופטים בישראל בחסר משמעותי. נעשים במהלך השנים צעדים רבים לייעול ושיפור השירות. ואולם, הכרחי לסגור את הפער העצ</w:t>
      </w:r>
      <w:r>
        <w:rPr>
          <w:rFonts w:cs="David" w:hint="cs"/>
          <w:sz w:val="24"/>
          <w:szCs w:val="24"/>
          <w:rtl/>
        </w:rPr>
        <w:t>ו</w:t>
      </w:r>
      <w:r w:rsidR="00970EAE" w:rsidRPr="00970EAE">
        <w:rPr>
          <w:rFonts w:cs="David" w:hint="cs"/>
          <w:sz w:val="24"/>
          <w:szCs w:val="24"/>
          <w:rtl/>
        </w:rPr>
        <w:t xml:space="preserve">ם הקיים בישראל ביחס לתקני שפיטה. </w:t>
      </w:r>
      <w:r w:rsidR="00970EAE" w:rsidRPr="00970EAE">
        <w:rPr>
          <w:rFonts w:cs="David"/>
          <w:sz w:val="24"/>
          <w:szCs w:val="24"/>
          <w:rtl/>
        </w:rPr>
        <w:t>הקלת העומס נחוצה גם לשם הבטחת תנאי העבודה של השופטים וצוותי העזר. ממצאי המחקר יסייעו לצורכי תקינה ואיוש של שופטים, רשמים וצוותי העזר לשופטים במערכת, לצורכי השווא</w:t>
      </w:r>
      <w:r w:rsidR="00970EAE" w:rsidRPr="00970EAE">
        <w:rPr>
          <w:rFonts w:cs="David" w:hint="cs"/>
          <w:sz w:val="24"/>
          <w:szCs w:val="24"/>
          <w:rtl/>
        </w:rPr>
        <w:t>ה בהיקף העבודה</w:t>
      </w:r>
      <w:r w:rsidR="00970EAE" w:rsidRPr="00970EAE">
        <w:rPr>
          <w:rFonts w:cs="David"/>
          <w:sz w:val="24"/>
          <w:szCs w:val="24"/>
          <w:rtl/>
        </w:rPr>
        <w:t xml:space="preserve"> בין בתי המשפט והעברת תיקים (בתוך המחוזות וביניהם), לקביעת הצורך במבני בתי משפט עתידיים וגודלם, ואף לסייע בקביעת תכניות העבודה ברמת בית המשפט והמחוז".</w:t>
      </w:r>
    </w:p>
    <w:p w:rsidR="00B24DF5" w:rsidRDefault="00B24DF5" w:rsidP="00464E97">
      <w:pPr>
        <w:spacing w:after="0" w:line="360" w:lineRule="auto"/>
        <w:jc w:val="both"/>
        <w:rPr>
          <w:rFonts w:cs="David"/>
          <w:sz w:val="24"/>
          <w:szCs w:val="24"/>
          <w:rtl/>
        </w:rPr>
      </w:pPr>
    </w:p>
    <w:p w:rsidR="00970EAE" w:rsidRPr="00970EAE" w:rsidRDefault="00970EAE" w:rsidP="00464E97">
      <w:pPr>
        <w:spacing w:after="0" w:line="360" w:lineRule="auto"/>
        <w:jc w:val="both"/>
        <w:rPr>
          <w:rFonts w:cs="David"/>
          <w:sz w:val="24"/>
          <w:szCs w:val="24"/>
          <w:rtl/>
        </w:rPr>
      </w:pPr>
      <w:r w:rsidRPr="00970EAE">
        <w:rPr>
          <w:rFonts w:cs="David"/>
          <w:sz w:val="24"/>
          <w:szCs w:val="24"/>
          <w:rtl/>
        </w:rPr>
        <w:t xml:space="preserve">המחקר הנוכחי נעשה </w:t>
      </w:r>
      <w:r w:rsidRPr="00970EAE">
        <w:rPr>
          <w:rFonts w:cs="David" w:hint="cs"/>
          <w:sz w:val="24"/>
          <w:szCs w:val="24"/>
          <w:rtl/>
        </w:rPr>
        <w:t xml:space="preserve">לפי הסטנדרטים המתקדמים בעולם בניהול ומדידה של תפקוד מערכות בתי המשפט. המחקר מהווה </w:t>
      </w:r>
      <w:r w:rsidRPr="00970EAE">
        <w:rPr>
          <w:rFonts w:cs="David"/>
          <w:sz w:val="24"/>
          <w:szCs w:val="24"/>
          <w:rtl/>
        </w:rPr>
        <w:t>חידוש וטיוב של מחקר מדד משקלות התיקים שפרסמה מחלקת המחקר של הרשות השופטת</w:t>
      </w:r>
      <w:r w:rsidRPr="00970EAE">
        <w:rPr>
          <w:rFonts w:cs="David" w:hint="cs"/>
          <w:sz w:val="24"/>
          <w:szCs w:val="24"/>
          <w:rtl/>
        </w:rPr>
        <w:t xml:space="preserve"> </w:t>
      </w:r>
      <w:r w:rsidRPr="00970EAE">
        <w:rPr>
          <w:rFonts w:cs="David"/>
          <w:sz w:val="24"/>
          <w:szCs w:val="24"/>
          <w:rtl/>
        </w:rPr>
        <w:t>בשנת 2013</w:t>
      </w:r>
      <w:r w:rsidRPr="00970EAE">
        <w:rPr>
          <w:rFonts w:cs="David" w:hint="cs"/>
          <w:sz w:val="24"/>
          <w:szCs w:val="24"/>
          <w:rtl/>
        </w:rPr>
        <w:t>.</w:t>
      </w:r>
      <w:r w:rsidRPr="00970EAE">
        <w:rPr>
          <w:rFonts w:cs="David"/>
          <w:sz w:val="24"/>
          <w:szCs w:val="24"/>
          <w:rtl/>
        </w:rPr>
        <w:t xml:space="preserve"> הצורך בחידוש</w:t>
      </w:r>
      <w:r w:rsidRPr="00970EAE">
        <w:rPr>
          <w:rFonts w:cs="David" w:hint="cs"/>
          <w:sz w:val="24"/>
          <w:szCs w:val="24"/>
          <w:rtl/>
        </w:rPr>
        <w:t>ו</w:t>
      </w:r>
      <w:r w:rsidRPr="00970EAE">
        <w:rPr>
          <w:rFonts w:cs="David"/>
          <w:sz w:val="24"/>
          <w:szCs w:val="24"/>
          <w:rtl/>
        </w:rPr>
        <w:t xml:space="preserve"> עלה נוכח חלוף כשבע שנים ממועד עריכתו; חידושי חקיקה</w:t>
      </w:r>
      <w:r w:rsidRPr="00970EAE">
        <w:rPr>
          <w:rFonts w:cs="David" w:hint="cs"/>
          <w:sz w:val="24"/>
          <w:szCs w:val="24"/>
          <w:rtl/>
        </w:rPr>
        <w:t xml:space="preserve">, </w:t>
      </w:r>
      <w:r w:rsidRPr="00970EAE">
        <w:rPr>
          <w:rFonts w:cs="David"/>
          <w:sz w:val="24"/>
          <w:szCs w:val="24"/>
          <w:rtl/>
        </w:rPr>
        <w:t>סוגי תיקים חדשים; חידושים מהותיים שהתגבשו בספרות המחקרית שנצברה מאז המחקר הקודם,</w:t>
      </w:r>
      <w:r w:rsidRPr="00970EAE">
        <w:rPr>
          <w:rFonts w:cs="David" w:hint="cs"/>
          <w:sz w:val="24"/>
          <w:szCs w:val="24"/>
          <w:rtl/>
        </w:rPr>
        <w:t xml:space="preserve"> </w:t>
      </w:r>
      <w:r w:rsidRPr="00970EAE">
        <w:rPr>
          <w:rFonts w:cs="David"/>
          <w:sz w:val="24"/>
          <w:szCs w:val="24"/>
          <w:rtl/>
        </w:rPr>
        <w:t xml:space="preserve">ניהול שונה של התיקים, בין היתר כתוצאה מן ההתקדמות הטכנולוגית בשנים האחרונות ועוד. יתרונותיו וחידושיו </w:t>
      </w:r>
      <w:r w:rsidRPr="00970EAE">
        <w:rPr>
          <w:rFonts w:cs="David" w:hint="cs"/>
          <w:sz w:val="24"/>
          <w:szCs w:val="24"/>
          <w:rtl/>
        </w:rPr>
        <w:t xml:space="preserve">של המחקר הנוכחי </w:t>
      </w:r>
      <w:r w:rsidRPr="00970EAE">
        <w:rPr>
          <w:rFonts w:cs="David"/>
          <w:sz w:val="24"/>
          <w:szCs w:val="24"/>
          <w:rtl/>
        </w:rPr>
        <w:t>מתבטאים בהצגת זמני הטיפול במספר רב יותר של תיקים וסוגי עניין ייחודיים; הצגת זמני הטיפול בתיקים ביחידות של שעות וגם בתרגום למשקלות יחסיים, בהצגת ופילוח תמהיל יום העבודה השיפוטי</w:t>
      </w:r>
      <w:r w:rsidRPr="00970EAE">
        <w:rPr>
          <w:rFonts w:cs="David" w:hint="cs"/>
          <w:sz w:val="24"/>
          <w:szCs w:val="24"/>
          <w:rtl/>
        </w:rPr>
        <w:t>, כמו כן כלל המחקר הנוכחי באופן חלוצי במערכת התייחסות ראשונית לעומס הנפשי והרגשי המוטל על שופטי ורשמי המע</w:t>
      </w:r>
      <w:bookmarkStart w:id="0" w:name="_GoBack"/>
      <w:bookmarkEnd w:id="0"/>
      <w:r w:rsidRPr="00970EAE">
        <w:rPr>
          <w:rFonts w:cs="David" w:hint="cs"/>
          <w:sz w:val="24"/>
          <w:szCs w:val="24"/>
          <w:rtl/>
        </w:rPr>
        <w:t>רכת.</w:t>
      </w:r>
    </w:p>
    <w:p w:rsidR="003C61AF" w:rsidRPr="00E55232" w:rsidRDefault="003C61AF" w:rsidP="00B24DF5">
      <w:pPr>
        <w:spacing w:before="100" w:beforeAutospacing="1" w:after="100" w:afterAutospacing="1" w:line="360" w:lineRule="auto"/>
        <w:ind w:left="3600" w:firstLine="720"/>
        <w:jc w:val="both"/>
        <w:rPr>
          <w:rFonts w:ascii="Times New Roman" w:eastAsia="Times New Roman" w:hAnsi="Times New Roman" w:cs="David"/>
          <w:b/>
          <w:bCs/>
          <w:color w:val="002060"/>
          <w:sz w:val="24"/>
          <w:szCs w:val="24"/>
          <w:rtl/>
        </w:rPr>
      </w:pPr>
      <w:r w:rsidRPr="00E55232">
        <w:rPr>
          <w:rFonts w:ascii="Times New Roman" w:eastAsia="Times New Roman" w:hAnsi="Times New Roman" w:cs="David" w:hint="cs"/>
          <w:noProof/>
          <w:color w:val="002060"/>
          <w:sz w:val="28"/>
          <w:szCs w:val="28"/>
          <w:rtl/>
        </w:rPr>
        <w:drawing>
          <wp:anchor distT="0" distB="0" distL="114300" distR="114300" simplePos="0" relativeHeight="251659264" behindDoc="1" locked="0" layoutInCell="1" allowOverlap="1">
            <wp:simplePos x="0" y="0"/>
            <wp:positionH relativeFrom="column">
              <wp:posOffset>701040</wp:posOffset>
            </wp:positionH>
            <wp:positionV relativeFrom="paragraph">
              <wp:posOffset>349885</wp:posOffset>
            </wp:positionV>
            <wp:extent cx="1343025" cy="581025"/>
            <wp:effectExtent l="0" t="0" r="9525" b="9525"/>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581025"/>
                    </a:xfrm>
                    <a:prstGeom prst="rect">
                      <a:avLst/>
                    </a:prstGeom>
                    <a:noFill/>
                  </pic:spPr>
                </pic:pic>
              </a:graphicData>
            </a:graphic>
          </wp:anchor>
        </w:drawing>
      </w:r>
      <w:r w:rsidR="00B24DF5">
        <w:rPr>
          <w:rFonts w:ascii="Times New Roman" w:eastAsia="Times New Roman" w:hAnsi="Times New Roman" w:cs="David" w:hint="cs"/>
          <w:b/>
          <w:bCs/>
          <w:color w:val="002060"/>
          <w:sz w:val="24"/>
          <w:szCs w:val="24"/>
          <w:rtl/>
        </w:rPr>
        <w:t>ב</w:t>
      </w:r>
      <w:r w:rsidRPr="00E55232">
        <w:rPr>
          <w:rFonts w:ascii="Times New Roman" w:eastAsia="Times New Roman" w:hAnsi="Times New Roman" w:cs="David" w:hint="cs"/>
          <w:b/>
          <w:bCs/>
          <w:color w:val="002060"/>
          <w:sz w:val="24"/>
          <w:szCs w:val="24"/>
          <w:rtl/>
        </w:rPr>
        <w:t>ברכה,</w:t>
      </w:r>
    </w:p>
    <w:p w:rsidR="003C61AF" w:rsidRPr="00E55232" w:rsidRDefault="003C61AF" w:rsidP="00464E97">
      <w:pPr>
        <w:spacing w:before="100" w:beforeAutospacing="1" w:after="100" w:afterAutospacing="1" w:line="360" w:lineRule="auto"/>
        <w:ind w:left="4320"/>
        <w:jc w:val="both"/>
        <w:rPr>
          <w:rFonts w:ascii="Times New Roman" w:eastAsia="Times New Roman" w:hAnsi="Times New Roman" w:cs="David"/>
          <w:b/>
          <w:bCs/>
          <w:color w:val="002060"/>
          <w:sz w:val="24"/>
          <w:szCs w:val="24"/>
          <w:rtl/>
        </w:rPr>
      </w:pPr>
      <w:r w:rsidRPr="00E55232">
        <w:rPr>
          <w:rFonts w:ascii="Times New Roman" w:eastAsia="Times New Roman" w:hAnsi="Times New Roman" w:cs="David" w:hint="cs"/>
          <w:b/>
          <w:bCs/>
          <w:color w:val="002060"/>
          <w:sz w:val="24"/>
          <w:szCs w:val="24"/>
          <w:rtl/>
        </w:rPr>
        <w:t>אילת פילו, </w:t>
      </w:r>
      <w:proofErr w:type="spellStart"/>
      <w:r w:rsidRPr="00E55232">
        <w:rPr>
          <w:rFonts w:ascii="Times New Roman" w:eastAsia="Times New Roman" w:hAnsi="Times New Roman" w:cs="David" w:hint="cs"/>
          <w:b/>
          <w:bCs/>
          <w:color w:val="002060"/>
          <w:sz w:val="24"/>
          <w:szCs w:val="24"/>
          <w:rtl/>
        </w:rPr>
        <w:t>עו"ד</w:t>
      </w:r>
      <w:r w:rsidRPr="00E55232">
        <w:rPr>
          <w:rFonts w:ascii="Arial" w:eastAsia="Times New Roman" w:hAnsi="Arial" w:cs="Arial" w:hint="cs"/>
          <w:b/>
          <w:bCs/>
          <w:color w:val="002060"/>
          <w:sz w:val="24"/>
          <w:szCs w:val="24"/>
          <w:rtl/>
        </w:rPr>
        <w:t>│</w:t>
      </w:r>
      <w:r w:rsidRPr="00E55232">
        <w:rPr>
          <w:rFonts w:ascii="Times New Roman" w:eastAsia="Times New Roman" w:hAnsi="Times New Roman" w:cs="David" w:hint="cs"/>
          <w:b/>
          <w:bCs/>
          <w:color w:val="002060"/>
          <w:sz w:val="24"/>
          <w:szCs w:val="24"/>
          <w:rtl/>
        </w:rPr>
        <w:t>ראש</w:t>
      </w:r>
      <w:proofErr w:type="spellEnd"/>
      <w:r w:rsidRPr="00E55232">
        <w:rPr>
          <w:rFonts w:ascii="Times New Roman" w:eastAsia="Times New Roman" w:hAnsi="Times New Roman" w:cs="David" w:hint="cs"/>
          <w:b/>
          <w:bCs/>
          <w:color w:val="002060"/>
          <w:sz w:val="24"/>
          <w:szCs w:val="24"/>
          <w:rtl/>
        </w:rPr>
        <w:t xml:space="preserve"> מערך דוברות והסברה</w:t>
      </w:r>
    </w:p>
    <w:p w:rsidR="00B16422" w:rsidRPr="00983123" w:rsidRDefault="003C61AF" w:rsidP="00B24DF5">
      <w:pPr>
        <w:spacing w:before="100" w:beforeAutospacing="1" w:after="100" w:afterAutospacing="1" w:line="360" w:lineRule="auto"/>
        <w:ind w:left="4320"/>
        <w:jc w:val="both"/>
        <w:rPr>
          <w:rFonts w:cs="David"/>
          <w:b/>
          <w:bCs/>
          <w:sz w:val="24"/>
          <w:szCs w:val="24"/>
          <w:u w:val="single"/>
          <w:rtl/>
        </w:rPr>
      </w:pPr>
      <w:r w:rsidRPr="00E55232">
        <w:rPr>
          <w:rFonts w:ascii="Times New Roman" w:eastAsia="Times New Roman" w:hAnsi="Times New Roman" w:cs="David" w:hint="cs"/>
          <w:b/>
          <w:bCs/>
          <w:color w:val="002060"/>
          <w:sz w:val="24"/>
          <w:szCs w:val="24"/>
          <w:rtl/>
        </w:rPr>
        <w:t xml:space="preserve">               הרשות השופטת בישראל</w:t>
      </w:r>
    </w:p>
    <w:p w:rsidR="002453CF" w:rsidRPr="00D205AB" w:rsidRDefault="002453CF" w:rsidP="00464E97">
      <w:pPr>
        <w:spacing w:line="360" w:lineRule="auto"/>
        <w:rPr>
          <w:rFonts w:cs="David"/>
          <w:b/>
          <w:bCs/>
          <w:color w:val="002060"/>
          <w:sz w:val="24"/>
          <w:szCs w:val="24"/>
          <w:rtl/>
        </w:rPr>
      </w:pPr>
    </w:p>
    <w:sectPr w:rsidR="002453CF" w:rsidRPr="00D205AB" w:rsidSect="00B16422">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A1" w:rsidRDefault="00730CA1" w:rsidP="00730CA1">
      <w:pPr>
        <w:spacing w:after="0" w:line="240" w:lineRule="auto"/>
      </w:pPr>
      <w:r>
        <w:separator/>
      </w:r>
    </w:p>
  </w:endnote>
  <w:endnote w:type="continuationSeparator" w:id="0">
    <w:p w:rsidR="00730CA1" w:rsidRDefault="00730CA1" w:rsidP="0073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F" w:rsidRPr="003C61AF" w:rsidRDefault="003C61AF" w:rsidP="003C61AF">
    <w:pPr>
      <w:tabs>
        <w:tab w:val="center" w:pos="4153"/>
        <w:tab w:val="right" w:pos="8306"/>
      </w:tabs>
      <w:spacing w:after="0" w:line="240" w:lineRule="auto"/>
      <w:rPr>
        <w:rFonts w:ascii="Times New Roman" w:eastAsia="Times New Roman" w:hAnsi="Times New Roman" w:cs="FrankRuehl"/>
        <w:b/>
        <w:bCs/>
        <w:color w:val="000080"/>
        <w:spacing w:val="6"/>
        <w:sz w:val="24"/>
        <w:szCs w:val="24"/>
        <w:rtl/>
      </w:rPr>
    </w:pPr>
    <w:r w:rsidRPr="003C61AF">
      <w:rPr>
        <w:rFonts w:ascii="Times New Roman" w:eastAsia="Times New Roman" w:hAnsi="Times New Roman" w:cs="FrankRuehl"/>
        <w:b/>
        <w:bCs/>
        <w:color w:val="000080"/>
        <w:spacing w:val="6"/>
        <w:sz w:val="24"/>
        <w:szCs w:val="24"/>
        <w:rtl/>
      </w:rPr>
      <w:t>________________________________________________________________</w:t>
    </w:r>
  </w:p>
  <w:p w:rsidR="003C61AF" w:rsidRPr="003C61AF" w:rsidRDefault="003C61AF" w:rsidP="003C61AF">
    <w:pPr>
      <w:tabs>
        <w:tab w:val="center" w:pos="4153"/>
        <w:tab w:val="right" w:pos="8306"/>
      </w:tabs>
      <w:spacing w:after="0" w:line="240" w:lineRule="auto"/>
      <w:jc w:val="center"/>
      <w:rPr>
        <w:rFonts w:ascii="Times New Roman" w:eastAsia="Times New Roman" w:hAnsi="Times New Roman" w:cs="FrankRuehl"/>
        <w:b/>
        <w:bCs/>
        <w:color w:val="000080"/>
        <w:spacing w:val="6"/>
        <w:sz w:val="24"/>
        <w:szCs w:val="24"/>
        <w:rtl/>
      </w:rPr>
    </w:pPr>
    <w:r w:rsidRPr="003C61AF">
      <w:rPr>
        <w:rFonts w:ascii="Times New Roman" w:eastAsia="Times New Roman" w:hAnsi="Times New Roman" w:cs="FrankRuehl" w:hint="cs"/>
        <w:b/>
        <w:bCs/>
        <w:color w:val="000080"/>
        <w:spacing w:val="6"/>
        <w:sz w:val="24"/>
        <w:szCs w:val="24"/>
        <w:rtl/>
      </w:rPr>
      <w:t xml:space="preserve">בית משפט העליון רח' שערי משפט, </w:t>
    </w:r>
    <w:proofErr w:type="spellStart"/>
    <w:r w:rsidRPr="003C61AF">
      <w:rPr>
        <w:rFonts w:ascii="Times New Roman" w:eastAsia="Times New Roman" w:hAnsi="Times New Roman" w:cs="FrankRuehl" w:hint="cs"/>
        <w:b/>
        <w:bCs/>
        <w:color w:val="000080"/>
        <w:spacing w:val="6"/>
        <w:sz w:val="24"/>
        <w:szCs w:val="24"/>
        <w:rtl/>
      </w:rPr>
      <w:t>קרית</w:t>
    </w:r>
    <w:proofErr w:type="spellEnd"/>
    <w:r w:rsidRPr="003C61AF">
      <w:rPr>
        <w:rFonts w:ascii="Times New Roman" w:eastAsia="Times New Roman" w:hAnsi="Times New Roman" w:cs="FrankRuehl" w:hint="cs"/>
        <w:b/>
        <w:bCs/>
        <w:color w:val="000080"/>
        <w:spacing w:val="6"/>
        <w:sz w:val="24"/>
        <w:szCs w:val="24"/>
        <w:rtl/>
      </w:rPr>
      <w:t xml:space="preserve"> בן גוריון, ירושלים</w:t>
    </w:r>
  </w:p>
  <w:p w:rsidR="003C61AF" w:rsidRPr="003C61AF" w:rsidRDefault="003C61AF" w:rsidP="003C61AF">
    <w:pPr>
      <w:tabs>
        <w:tab w:val="center" w:pos="4153"/>
        <w:tab w:val="right" w:pos="8306"/>
      </w:tabs>
      <w:spacing w:after="0" w:line="240" w:lineRule="auto"/>
      <w:jc w:val="center"/>
      <w:rPr>
        <w:rFonts w:ascii="Times New Roman" w:eastAsia="Times New Roman" w:hAnsi="Times New Roman" w:cs="FrankRuehl"/>
        <w:b/>
        <w:bCs/>
        <w:color w:val="000080"/>
        <w:spacing w:val="6"/>
        <w:sz w:val="24"/>
        <w:szCs w:val="24"/>
      </w:rPr>
    </w:pPr>
    <w:r w:rsidRPr="003C61AF">
      <w:rPr>
        <w:rFonts w:ascii="Times New Roman" w:eastAsia="Times New Roman" w:hAnsi="Times New Roman" w:cs="FrankRuehl" w:hint="cs"/>
        <w:b/>
        <w:bCs/>
        <w:color w:val="000080"/>
        <w:spacing w:val="6"/>
        <w:sz w:val="24"/>
        <w:szCs w:val="24"/>
        <w:rtl/>
      </w:rPr>
      <w:t xml:space="preserve">טל: </w:t>
    </w:r>
    <w:r w:rsidRPr="003C61AF">
      <w:rPr>
        <w:rFonts w:ascii="Times New Roman" w:eastAsia="Times New Roman" w:hAnsi="Times New Roman" w:cs="FrankRuehl"/>
        <w:b/>
        <w:bCs/>
        <w:color w:val="000080"/>
        <w:spacing w:val="6"/>
        <w:sz w:val="24"/>
        <w:szCs w:val="24"/>
      </w:rPr>
      <w:t>074-7480412</w:t>
    </w:r>
    <w:r w:rsidRPr="003C61AF">
      <w:rPr>
        <w:rFonts w:ascii="Times New Roman" w:eastAsia="Times New Roman" w:hAnsi="Times New Roman" w:cs="FrankRuehl" w:hint="cs"/>
        <w:b/>
        <w:bCs/>
        <w:color w:val="000080"/>
        <w:spacing w:val="6"/>
        <w:sz w:val="24"/>
        <w:szCs w:val="24"/>
        <w:rtl/>
      </w:rPr>
      <w:t xml:space="preserve">                דוא"ל</w:t>
    </w:r>
    <w:r w:rsidRPr="003C61AF">
      <w:rPr>
        <w:rFonts w:ascii="Times New Roman" w:eastAsia="Times New Roman" w:hAnsi="Times New Roman" w:cs="FrankRuehl"/>
        <w:b/>
        <w:bCs/>
        <w:color w:val="000080"/>
        <w:spacing w:val="6"/>
        <w:sz w:val="24"/>
        <w:szCs w:val="24"/>
      </w:rPr>
      <w:t>:</w:t>
    </w:r>
    <w:r w:rsidRPr="003C61AF">
      <w:rPr>
        <w:rFonts w:ascii="Times New Roman" w:eastAsia="Times New Roman" w:hAnsi="Times New Roman" w:cs="FrankRuehl" w:hint="cs"/>
        <w:b/>
        <w:bCs/>
        <w:color w:val="000080"/>
        <w:spacing w:val="6"/>
        <w:sz w:val="24"/>
        <w:szCs w:val="24"/>
        <w:rtl/>
      </w:rPr>
      <w:t xml:space="preserve">  </w:t>
    </w:r>
    <w:hyperlink r:id="rId1" w:history="1">
      <w:r w:rsidRPr="003C61AF">
        <w:rPr>
          <w:rFonts w:ascii="Times New Roman" w:eastAsia="Times New Roman" w:hAnsi="Times New Roman" w:cs="FrankRuehl"/>
          <w:b/>
          <w:bCs/>
          <w:color w:val="0000FF"/>
          <w:spacing w:val="6"/>
          <w:sz w:val="24"/>
          <w:szCs w:val="24"/>
          <w:u w:val="single"/>
        </w:rPr>
        <w:t>Dover@court.gov.il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A1" w:rsidRDefault="00730CA1" w:rsidP="00730CA1">
      <w:pPr>
        <w:spacing w:after="0" w:line="240" w:lineRule="auto"/>
      </w:pPr>
      <w:r>
        <w:separator/>
      </w:r>
    </w:p>
  </w:footnote>
  <w:footnote w:type="continuationSeparator" w:id="0">
    <w:p w:rsidR="00730CA1" w:rsidRDefault="00730CA1" w:rsidP="0073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B2" w:rsidRPr="005253B2" w:rsidRDefault="005253B2"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David"/>
        <w:sz w:val="20"/>
        <w:szCs w:val="24"/>
        <w:lang w:eastAsia="he-IL"/>
      </w:rPr>
    </w:pPr>
    <w:r w:rsidRPr="005253B2">
      <w:rPr>
        <w:rFonts w:ascii="Times New Roman" w:eastAsia="Times New Roman" w:hAnsi="Times New Roman" w:cs="David"/>
        <w:noProof/>
        <w:sz w:val="20"/>
        <w:szCs w:val="24"/>
      </w:rPr>
      <w:drawing>
        <wp:inline distT="0" distB="0" distL="0" distR="0">
          <wp:extent cx="523875" cy="619125"/>
          <wp:effectExtent l="0" t="0" r="9525" b="9525"/>
          <wp:docPr id="1" name="תמונה 2" descr="תיאור: 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5253B2">
      <w:rPr>
        <w:rFonts w:ascii="Century" w:eastAsia="Times New Roman" w:hAnsi="Century" w:cs="FrankRuehl" w:hint="cs"/>
        <w:noProof/>
        <w:spacing w:val="10"/>
        <w:sz w:val="20"/>
        <w:szCs w:val="28"/>
        <w:rtl/>
        <w:lang w:eastAsia="he-IL"/>
      </w:rPr>
      <w:t xml:space="preserve">                                            </w:t>
    </w:r>
  </w:p>
  <w:p w:rsidR="005253B2" w:rsidRPr="005253B2" w:rsidRDefault="001477AA"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FrankRuehl"/>
        <w:b/>
        <w:bCs/>
        <w:color w:val="000080"/>
        <w:spacing w:val="6"/>
        <w:sz w:val="28"/>
        <w:szCs w:val="28"/>
        <w:rtl/>
        <w:lang w:eastAsia="he-IL"/>
      </w:rPr>
    </w:pPr>
    <w:r>
      <w:rPr>
        <w:rFonts w:ascii="Times New Roman" w:eastAsia="Times New Roman" w:hAnsi="Times New Roman" w:cs="FrankRuehl" w:hint="cs"/>
        <w:b/>
        <w:bCs/>
        <w:color w:val="000080"/>
        <w:spacing w:val="6"/>
        <w:sz w:val="28"/>
        <w:szCs w:val="28"/>
        <w:rtl/>
        <w:lang w:eastAsia="he-IL"/>
      </w:rPr>
      <w:t>הרשות השופטת</w:t>
    </w:r>
  </w:p>
  <w:p w:rsidR="007007D7" w:rsidRPr="005253B2" w:rsidRDefault="001477AA"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FrankRuehl"/>
        <w:b/>
        <w:bCs/>
        <w:color w:val="000080"/>
        <w:spacing w:val="6"/>
        <w:sz w:val="28"/>
        <w:szCs w:val="28"/>
        <w:lang w:eastAsia="he-IL"/>
      </w:rPr>
    </w:pPr>
    <w:r>
      <w:rPr>
        <w:rFonts w:ascii="Times New Roman" w:eastAsia="Times New Roman" w:hAnsi="Times New Roman" w:cs="FrankRuehl" w:hint="cs"/>
        <w:b/>
        <w:bCs/>
        <w:color w:val="000080"/>
        <w:spacing w:val="6"/>
        <w:sz w:val="28"/>
        <w:szCs w:val="28"/>
        <w:rtl/>
        <w:lang w:eastAsia="he-IL"/>
      </w:rPr>
      <w:t xml:space="preserve">מערך </w:t>
    </w:r>
    <w:r w:rsidR="005253B2" w:rsidRPr="005253B2">
      <w:rPr>
        <w:rFonts w:ascii="Times New Roman" w:eastAsia="Times New Roman" w:hAnsi="Times New Roman" w:cs="FrankRuehl" w:hint="cs"/>
        <w:b/>
        <w:bCs/>
        <w:color w:val="000080"/>
        <w:spacing w:val="6"/>
        <w:sz w:val="28"/>
        <w:szCs w:val="28"/>
        <w:rtl/>
        <w:lang w:eastAsia="he-IL"/>
      </w:rPr>
      <w:t>דוברות והסברה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CF"/>
    <w:rsid w:val="000011AE"/>
    <w:rsid w:val="00025761"/>
    <w:rsid w:val="001477AA"/>
    <w:rsid w:val="001D42A7"/>
    <w:rsid w:val="002453CF"/>
    <w:rsid w:val="002C0E83"/>
    <w:rsid w:val="003921C3"/>
    <w:rsid w:val="00396099"/>
    <w:rsid w:val="003B13B8"/>
    <w:rsid w:val="003C61AF"/>
    <w:rsid w:val="003E6E39"/>
    <w:rsid w:val="00426AA7"/>
    <w:rsid w:val="00464E97"/>
    <w:rsid w:val="005253B2"/>
    <w:rsid w:val="00690B6F"/>
    <w:rsid w:val="006B7B96"/>
    <w:rsid w:val="006C3B1F"/>
    <w:rsid w:val="006F1E1F"/>
    <w:rsid w:val="007007D7"/>
    <w:rsid w:val="00711675"/>
    <w:rsid w:val="00730CA1"/>
    <w:rsid w:val="008C02E0"/>
    <w:rsid w:val="00970EAE"/>
    <w:rsid w:val="00983123"/>
    <w:rsid w:val="009E2587"/>
    <w:rsid w:val="009E5C0E"/>
    <w:rsid w:val="00AD7644"/>
    <w:rsid w:val="00B16422"/>
    <w:rsid w:val="00B24DF5"/>
    <w:rsid w:val="00BA3143"/>
    <w:rsid w:val="00C22E08"/>
    <w:rsid w:val="00C37F37"/>
    <w:rsid w:val="00C50C55"/>
    <w:rsid w:val="00C529CC"/>
    <w:rsid w:val="00C842A7"/>
    <w:rsid w:val="00C85A27"/>
    <w:rsid w:val="00CA2D6A"/>
    <w:rsid w:val="00CB4940"/>
    <w:rsid w:val="00D11F77"/>
    <w:rsid w:val="00D205AB"/>
    <w:rsid w:val="00D43C0E"/>
    <w:rsid w:val="00E35DF3"/>
    <w:rsid w:val="00E55232"/>
    <w:rsid w:val="00EB6609"/>
    <w:rsid w:val="00F46250"/>
    <w:rsid w:val="00FF55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7C4B"/>
  <w15:chartTrackingRefBased/>
  <w15:docId w15:val="{73C43B57-6867-4F06-9DF1-55588D3D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A7"/>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426AA7"/>
    <w:rPr>
      <w:rFonts w:ascii="Tahoma" w:hAnsi="Tahoma" w:cs="Tahoma"/>
      <w:sz w:val="18"/>
      <w:szCs w:val="18"/>
    </w:rPr>
  </w:style>
  <w:style w:type="character" w:styleId="Hyperlink">
    <w:name w:val="Hyperlink"/>
    <w:basedOn w:val="a0"/>
    <w:uiPriority w:val="99"/>
    <w:unhideWhenUsed/>
    <w:rsid w:val="00E35DF3"/>
    <w:rPr>
      <w:color w:val="0563C1" w:themeColor="hyperlink"/>
      <w:u w:val="single"/>
    </w:rPr>
  </w:style>
  <w:style w:type="paragraph" w:styleId="a5">
    <w:name w:val="header"/>
    <w:basedOn w:val="a"/>
    <w:link w:val="a6"/>
    <w:uiPriority w:val="99"/>
    <w:unhideWhenUsed/>
    <w:rsid w:val="00730CA1"/>
    <w:pPr>
      <w:tabs>
        <w:tab w:val="center" w:pos="4153"/>
        <w:tab w:val="right" w:pos="8306"/>
      </w:tabs>
      <w:spacing w:after="0" w:line="240" w:lineRule="auto"/>
    </w:pPr>
  </w:style>
  <w:style w:type="character" w:customStyle="1" w:styleId="a6">
    <w:name w:val="כותרת עליונה תו"/>
    <w:basedOn w:val="a0"/>
    <w:link w:val="a5"/>
    <w:uiPriority w:val="99"/>
    <w:rsid w:val="00730CA1"/>
  </w:style>
  <w:style w:type="paragraph" w:styleId="a7">
    <w:name w:val="footer"/>
    <w:basedOn w:val="a"/>
    <w:link w:val="a8"/>
    <w:uiPriority w:val="99"/>
    <w:unhideWhenUsed/>
    <w:rsid w:val="00730CA1"/>
    <w:pPr>
      <w:tabs>
        <w:tab w:val="center" w:pos="4153"/>
        <w:tab w:val="right" w:pos="8306"/>
      </w:tabs>
      <w:spacing w:after="0" w:line="240" w:lineRule="auto"/>
    </w:pPr>
  </w:style>
  <w:style w:type="character" w:customStyle="1" w:styleId="a8">
    <w:name w:val="כותרת תחתונה תו"/>
    <w:basedOn w:val="a0"/>
    <w:link w:val="a7"/>
    <w:uiPriority w:val="99"/>
    <w:rsid w:val="0073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39320">
      <w:bodyDiv w:val="1"/>
      <w:marLeft w:val="0"/>
      <w:marRight w:val="0"/>
      <w:marTop w:val="0"/>
      <w:marBottom w:val="0"/>
      <w:divBdr>
        <w:top w:val="none" w:sz="0" w:space="0" w:color="auto"/>
        <w:left w:val="none" w:sz="0" w:space="0" w:color="auto"/>
        <w:bottom w:val="none" w:sz="0" w:space="0" w:color="auto"/>
        <w:right w:val="none" w:sz="0" w:space="0" w:color="auto"/>
      </w:divBdr>
    </w:div>
    <w:div w:id="1552304460">
      <w:bodyDiv w:val="1"/>
      <w:marLeft w:val="0"/>
      <w:marRight w:val="0"/>
      <w:marTop w:val="0"/>
      <w:marBottom w:val="0"/>
      <w:divBdr>
        <w:top w:val="none" w:sz="0" w:space="0" w:color="auto"/>
        <w:left w:val="none" w:sz="0" w:space="0" w:color="auto"/>
        <w:bottom w:val="none" w:sz="0" w:space="0" w:color="auto"/>
        <w:right w:val="none" w:sz="0" w:space="0" w:color="auto"/>
      </w:divBdr>
    </w:div>
    <w:div w:id="20642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ver@court.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SixthEditionOfficeOnline.xsl"/>
</file>

<file path=customXml/itemProps1.xml><?xml version="1.0" encoding="utf-8"?>
<ds:datastoreItem xmlns:ds="http://schemas.openxmlformats.org/officeDocument/2006/customXml" ds:itemID="{78A2774D-A249-4E04-86C7-165BDA8C4BD2}">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3341</Characters>
  <Application>Microsoft Office Word</Application>
  <DocSecurity>0</DocSecurity>
  <Lines>27</Lines>
  <Paragraphs>8</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נירית לזימי</dc:creator>
  <cp:keywords/>
  <dc:description/>
  <cp:lastModifiedBy>אילת פילו</cp:lastModifiedBy>
  <cp:revision>2</cp:revision>
  <cp:lastPrinted>2021-07-26T06:51:00Z</cp:lastPrinted>
  <dcterms:created xsi:type="dcterms:W3CDTF">2021-07-26T07:59:00Z</dcterms:created>
  <dcterms:modified xsi:type="dcterms:W3CDTF">2021-07-26T07:59:00Z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Eng">
    <vt:lpwstr>26 ביולי 2021</vt:lpwstr>
  </property>
  <property fmtid="{D5CDD505-2E9C-101B-9397-08002B2CF9AE}" pid="3" name="DocDateHeb">
    <vt:lpwstr>י"ז באב תשפ"א</vt:lpwstr>
  </property>
  <property fmtid="{D5CDD505-2E9C-101B-9397-08002B2CF9AE}" pid="4" name="DocNumber">
    <vt:lpwstr>4700-1039-2021-009155</vt:lpwstr>
  </property>
  <property fmtid="{D5CDD505-2E9C-101B-9397-08002B2CF9AE}" pid="5" name="DocRecipientsName">
    <vt:lpwstr/>
  </property>
  <property fmtid="{D5CDD505-2E9C-101B-9397-08002B2CF9AE}" pid="6" name="DocToName">
    <vt:lpwstr/>
  </property>
  <property fmtid="{D5CDD505-2E9C-101B-9397-08002B2CF9AE}" pid="7" name="DocObjectName">
    <vt:lpwstr>הודעות לעיתנות: דוח משקלות</vt:lpwstr>
  </property>
</Properties>
</file>