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1D5F9" w14:textId="77777777" w:rsidR="00C842AB" w:rsidRPr="00E635A2" w:rsidRDefault="00C842AB" w:rsidP="00C842AB">
      <w:pPr>
        <w:jc w:val="right"/>
        <w:rPr>
          <w:b/>
          <w:bCs/>
          <w:sz w:val="20"/>
          <w:szCs w:val="20"/>
        </w:rPr>
      </w:pPr>
      <w:r w:rsidRPr="00E635A2">
        <w:rPr>
          <w:rFonts w:hint="cs"/>
          <w:sz w:val="20"/>
          <w:szCs w:val="20"/>
          <w:rtl/>
        </w:rPr>
        <w:t xml:space="preserve">מספר פנימי: </w:t>
      </w:r>
      <w:r w:rsidRPr="00021211">
        <w:rPr>
          <w:sz w:val="20"/>
          <w:szCs w:val="20"/>
          <w:rtl/>
        </w:rPr>
        <w:t>2156996</w:t>
      </w:r>
    </w:p>
    <w:p w14:paraId="62CA85AD" w14:textId="77777777" w:rsidR="00C842AB" w:rsidRPr="00DB7060" w:rsidRDefault="00C842AB" w:rsidP="00C842AB">
      <w:pPr>
        <w:pStyle w:val="HeadHatzaotHok"/>
        <w:rPr>
          <w:sz w:val="28"/>
          <w:szCs w:val="28"/>
          <w:rtl/>
        </w:rPr>
      </w:pPr>
      <w:r w:rsidRPr="00DB7060">
        <w:rPr>
          <w:rFonts w:hint="cs"/>
          <w:sz w:val="28"/>
          <w:szCs w:val="28"/>
          <w:rtl/>
        </w:rPr>
        <w:t xml:space="preserve">הכנסת </w:t>
      </w:r>
      <w:bookmarkStart w:id="0" w:name="LGS_Knesset_Num"/>
      <w:r>
        <w:rPr>
          <w:rFonts w:hint="cs"/>
          <w:sz w:val="28"/>
          <w:szCs w:val="28"/>
          <w:rtl/>
        </w:rPr>
        <w:t>העשרים ו</w:t>
      </w:r>
      <w:bookmarkEnd w:id="0"/>
      <w:r>
        <w:rPr>
          <w:rFonts w:hint="cs"/>
          <w:sz w:val="28"/>
          <w:szCs w:val="28"/>
          <w:rtl/>
        </w:rPr>
        <w:t>ארבע</w:t>
      </w:r>
    </w:p>
    <w:p w14:paraId="0E771DFC" w14:textId="77777777" w:rsidR="00C842AB" w:rsidRPr="00F67051" w:rsidRDefault="00C842AB" w:rsidP="00C842AB">
      <w:pPr>
        <w:rPr>
          <w:b/>
          <w:bCs/>
          <w:sz w:val="26"/>
          <w:szCs w:val="26"/>
          <w:rtl/>
        </w:rPr>
      </w:pPr>
    </w:p>
    <w:p w14:paraId="0AC601C0" w14:textId="77777777" w:rsidR="00C842AB" w:rsidRDefault="00C842AB" w:rsidP="00C842AB">
      <w:pPr>
        <w:pStyle w:val="David"/>
        <w:ind w:left="3544"/>
        <w:rPr>
          <w:b/>
          <w:bCs/>
          <w:rtl/>
        </w:rPr>
      </w:pPr>
      <w:bookmarkStart w:id="1" w:name="LGS_Initiators_List"/>
      <w:r>
        <w:rPr>
          <w:b/>
          <w:bCs/>
          <w:rtl/>
        </w:rPr>
        <w:t>יוזמים:      חברי הכנסת</w:t>
      </w:r>
      <w:bookmarkEnd w:id="1"/>
      <w:r w:rsidRPr="00F67051">
        <w:rPr>
          <w:b/>
          <w:bCs/>
        </w:rPr>
        <w:tab/>
      </w:r>
      <w:r>
        <w:rPr>
          <w:rFonts w:hint="cs"/>
          <w:b/>
          <w:bCs/>
          <w:rtl/>
        </w:rPr>
        <w:t>שמחה רוטמן</w:t>
      </w:r>
    </w:p>
    <w:p w14:paraId="6FBB8C96" w14:textId="77777777" w:rsidR="00981891" w:rsidRDefault="00C842AB" w:rsidP="00981891">
      <w:pPr>
        <w:pStyle w:val="David"/>
        <w:ind w:left="3600"/>
        <w:rPr>
          <w:rtl/>
        </w:rPr>
      </w:pPr>
      <w:r>
        <w:t>______________________________________________</w:t>
      </w:r>
    </w:p>
    <w:p w14:paraId="693DD4E0" w14:textId="090D4577" w:rsidR="00C842AB" w:rsidRPr="00904591" w:rsidRDefault="00981891" w:rsidP="00981891">
      <w:pPr>
        <w:pStyle w:val="David"/>
        <w:ind w:left="5760" w:firstLine="720"/>
        <w:rPr>
          <w:sz w:val="4"/>
          <w:szCs w:val="4"/>
          <w:rtl/>
        </w:rPr>
      </w:pPr>
      <w:r>
        <w:rPr>
          <w:rFonts w:hint="cs"/>
          <w:rtl/>
        </w:rPr>
        <w:t>פ/446/24</w:t>
      </w:r>
      <w:r w:rsidR="00C842AB" w:rsidRPr="00E06736">
        <w:rPr>
          <w:rFonts w:hint="cs"/>
          <w:rtl/>
        </w:rPr>
        <w:tab/>
      </w:r>
      <w:r w:rsidR="00C842AB" w:rsidRPr="00E06736">
        <w:rPr>
          <w:rFonts w:hint="cs"/>
          <w:rtl/>
        </w:rPr>
        <w:tab/>
      </w:r>
      <w:r w:rsidR="00C842AB" w:rsidRPr="00E06736">
        <w:rPr>
          <w:rFonts w:hint="cs"/>
          <w:rtl/>
        </w:rPr>
        <w:tab/>
      </w:r>
      <w:r w:rsidR="00C842AB">
        <w:t xml:space="preserve">           </w:t>
      </w:r>
    </w:p>
    <w:p w14:paraId="54DD2061" w14:textId="77777777" w:rsidR="00C842AB" w:rsidRPr="00F67051" w:rsidRDefault="00C842AB" w:rsidP="00C842AB">
      <w:pPr>
        <w:pStyle w:val="HeadHatzaotHok"/>
        <w:rPr>
          <w:rtl/>
        </w:rPr>
      </w:pPr>
      <w:bookmarkStart w:id="2" w:name="LGS_Subject"/>
      <w:bookmarkStart w:id="3" w:name="_GoBack"/>
      <w:bookmarkEnd w:id="3"/>
      <w:r>
        <w:rPr>
          <w:rFonts w:hint="cs"/>
          <w:rtl/>
        </w:rPr>
        <w:t>הצעת חוק בתי המשפט (תיקון – שקיפות הליכים משפטיים), התשפ"א–202</w:t>
      </w:r>
      <w:bookmarkEnd w:id="2"/>
      <w:r>
        <w:rPr>
          <w:rFonts w:hint="cs"/>
          <w:rtl/>
        </w:rPr>
        <w:t>1</w:t>
      </w:r>
    </w:p>
    <w:p w14:paraId="42301715" w14:textId="77777777" w:rsidR="00C842AB" w:rsidRDefault="00C842AB" w:rsidP="00C842AB">
      <w:pPr>
        <w:pStyle w:val="HeadDivreiHesber"/>
        <w:spacing w:before="0" w:after="0"/>
        <w:rPr>
          <w:rtl/>
        </w:rPr>
      </w:pPr>
    </w:p>
    <w:tbl>
      <w:tblPr>
        <w:bidiVisual/>
        <w:tblW w:w="9639" w:type="dxa"/>
        <w:tblCellMar>
          <w:top w:w="57" w:type="dxa"/>
          <w:left w:w="0" w:type="dxa"/>
          <w:bottom w:w="57" w:type="dxa"/>
          <w:right w:w="0" w:type="dxa"/>
        </w:tblCellMar>
        <w:tblLook w:val="0000" w:firstRow="0" w:lastRow="0" w:firstColumn="0" w:lastColumn="0" w:noHBand="0" w:noVBand="0"/>
      </w:tblPr>
      <w:tblGrid>
        <w:gridCol w:w="1870"/>
        <w:gridCol w:w="624"/>
        <w:gridCol w:w="624"/>
        <w:gridCol w:w="6521"/>
      </w:tblGrid>
      <w:tr w:rsidR="00C842AB" w14:paraId="31047DA0" w14:textId="77777777" w:rsidTr="00576CBD">
        <w:trPr>
          <w:cantSplit/>
        </w:trPr>
        <w:tc>
          <w:tcPr>
            <w:tcW w:w="1870" w:type="dxa"/>
            <w:tcBorders>
              <w:top w:val="nil"/>
              <w:left w:val="nil"/>
              <w:bottom w:val="nil"/>
              <w:right w:val="nil"/>
            </w:tcBorders>
          </w:tcPr>
          <w:p w14:paraId="49F26568" w14:textId="77777777" w:rsidR="00C842AB" w:rsidRDefault="00C842AB" w:rsidP="00150E87">
            <w:pPr>
              <w:pStyle w:val="TableSideHeading"/>
            </w:pPr>
            <w:r>
              <w:rPr>
                <w:rFonts w:hint="cs"/>
                <w:sz w:val="26"/>
                <w:rtl/>
              </w:rPr>
              <w:t>תיקון סעיף 70</w:t>
            </w:r>
            <w:r>
              <w:rPr>
                <w:sz w:val="26"/>
                <w:rtl/>
              </w:rPr>
              <w:t xml:space="preserve"> </w:t>
            </w:r>
          </w:p>
        </w:tc>
        <w:tc>
          <w:tcPr>
            <w:tcW w:w="624" w:type="dxa"/>
            <w:tcBorders>
              <w:top w:val="nil"/>
              <w:left w:val="nil"/>
              <w:bottom w:val="nil"/>
              <w:right w:val="nil"/>
            </w:tcBorders>
          </w:tcPr>
          <w:p w14:paraId="73292C62" w14:textId="77777777" w:rsidR="00C842AB" w:rsidRDefault="00C842AB" w:rsidP="00150E87">
            <w:pPr>
              <w:pStyle w:val="TableText"/>
              <w:jc w:val="both"/>
            </w:pPr>
            <w:r>
              <w:rPr>
                <w:sz w:val="26"/>
                <w:rtl/>
              </w:rPr>
              <w:t>1.</w:t>
            </w:r>
          </w:p>
        </w:tc>
        <w:tc>
          <w:tcPr>
            <w:tcW w:w="7145" w:type="dxa"/>
            <w:gridSpan w:val="2"/>
            <w:tcBorders>
              <w:top w:val="nil"/>
              <w:left w:val="nil"/>
              <w:bottom w:val="nil"/>
              <w:right w:val="nil"/>
            </w:tcBorders>
          </w:tcPr>
          <w:p w14:paraId="0D989122" w14:textId="297E7654" w:rsidR="00C842AB" w:rsidRDefault="00C842AB" w:rsidP="00576CBD">
            <w:pPr>
              <w:pStyle w:val="TableBlock"/>
            </w:pPr>
            <w:r>
              <w:rPr>
                <w:sz w:val="26"/>
                <w:rtl/>
              </w:rPr>
              <w:t>בחוק בתי המשפט [נוסח משולב], התשמ"ד–1984</w:t>
            </w:r>
            <w:r w:rsidRPr="008F0317">
              <w:rPr>
                <w:rStyle w:val="a6"/>
                <w:rFonts w:ascii="David" w:hAnsi="David"/>
                <w:sz w:val="26"/>
                <w:rtl/>
              </w:rPr>
              <w:footnoteReference w:id="2"/>
            </w:r>
            <w:r>
              <w:rPr>
                <w:sz w:val="26"/>
                <w:rtl/>
              </w:rPr>
              <w:t xml:space="preserve">, </w:t>
            </w:r>
            <w:r>
              <w:rPr>
                <w:rFonts w:hint="cs"/>
                <w:sz w:val="26"/>
                <w:rtl/>
              </w:rPr>
              <w:t>ב</w:t>
            </w:r>
            <w:r w:rsidR="00576CBD">
              <w:rPr>
                <w:rFonts w:hint="cs"/>
                <w:sz w:val="26"/>
                <w:rtl/>
              </w:rPr>
              <w:t>סעיף 70, ב</w:t>
            </w:r>
            <w:r>
              <w:rPr>
                <w:rFonts w:hint="cs"/>
                <w:sz w:val="26"/>
                <w:rtl/>
              </w:rPr>
              <w:t>מקום</w:t>
            </w:r>
            <w:r>
              <w:rPr>
                <w:sz w:val="26"/>
                <w:rtl/>
              </w:rPr>
              <w:t xml:space="preserve"> סעיף </w:t>
            </w:r>
            <w:r w:rsidR="00576CBD">
              <w:rPr>
                <w:rFonts w:hint="cs"/>
                <w:sz w:val="26"/>
                <w:rtl/>
              </w:rPr>
              <w:t xml:space="preserve">קטן </w:t>
            </w:r>
            <w:r>
              <w:rPr>
                <w:rFonts w:hint="cs"/>
                <w:sz w:val="26"/>
                <w:rtl/>
              </w:rPr>
              <w:t>(ב)</w:t>
            </w:r>
            <w:r>
              <w:rPr>
                <w:sz w:val="26"/>
                <w:rtl/>
              </w:rPr>
              <w:t xml:space="preserve"> יבוא:</w:t>
            </w:r>
          </w:p>
        </w:tc>
      </w:tr>
      <w:tr w:rsidR="00576CBD" w14:paraId="22532CD1" w14:textId="77777777" w:rsidTr="00576CBD">
        <w:tblPrEx>
          <w:tblLook w:val="01E0" w:firstRow="1" w:lastRow="1" w:firstColumn="1" w:lastColumn="1" w:noHBand="0" w:noVBand="0"/>
        </w:tblPrEx>
        <w:trPr>
          <w:cantSplit/>
          <w:trHeight w:val="60"/>
        </w:trPr>
        <w:tc>
          <w:tcPr>
            <w:tcW w:w="1870" w:type="dxa"/>
          </w:tcPr>
          <w:p w14:paraId="32B1C9A4" w14:textId="77777777" w:rsidR="00576CBD" w:rsidRDefault="00576CBD" w:rsidP="00576CBD">
            <w:pPr>
              <w:pStyle w:val="TableSideHeading"/>
            </w:pPr>
          </w:p>
        </w:tc>
        <w:tc>
          <w:tcPr>
            <w:tcW w:w="624" w:type="dxa"/>
          </w:tcPr>
          <w:p w14:paraId="69916587" w14:textId="77777777" w:rsidR="00576CBD" w:rsidRDefault="00576CBD" w:rsidP="00576CBD">
            <w:pPr>
              <w:pStyle w:val="TableText"/>
            </w:pPr>
          </w:p>
        </w:tc>
        <w:tc>
          <w:tcPr>
            <w:tcW w:w="624" w:type="dxa"/>
          </w:tcPr>
          <w:p w14:paraId="09F0DACA" w14:textId="6A3ACC72" w:rsidR="00576CBD" w:rsidRDefault="00576CBD" w:rsidP="00576CBD">
            <w:pPr>
              <w:pStyle w:val="TableText"/>
            </w:pPr>
            <w:r>
              <w:rPr>
                <w:rFonts w:hint="cs"/>
                <w:sz w:val="26"/>
                <w:rtl/>
              </w:rPr>
              <w:t>(ב)</w:t>
            </w:r>
          </w:p>
        </w:tc>
        <w:tc>
          <w:tcPr>
            <w:tcW w:w="6521" w:type="dxa"/>
          </w:tcPr>
          <w:p w14:paraId="78063CB0" w14:textId="6CC21644" w:rsidR="00576CBD" w:rsidRDefault="00576CBD" w:rsidP="00576CBD">
            <w:pPr>
              <w:pStyle w:val="TableBlock"/>
            </w:pPr>
            <w:r>
              <w:rPr>
                <w:sz w:val="26"/>
                <w:rtl/>
              </w:rPr>
              <w:t>(</w:t>
            </w:r>
            <w:r>
              <w:rPr>
                <w:rFonts w:hint="cs"/>
                <w:sz w:val="26"/>
                <w:rtl/>
              </w:rPr>
              <w:t>1</w:t>
            </w:r>
            <w:r>
              <w:rPr>
                <w:sz w:val="26"/>
                <w:rtl/>
              </w:rPr>
              <w:t>)</w:t>
            </w:r>
            <w:r>
              <w:rPr>
                <w:sz w:val="26"/>
                <w:rtl/>
              </w:rPr>
              <w:tab/>
            </w:r>
            <w:r>
              <w:rPr>
                <w:rFonts w:hint="cs"/>
                <w:sz w:val="26"/>
                <w:rtl/>
              </w:rPr>
              <w:t xml:space="preserve">כל אדם רשאי </w:t>
            </w:r>
            <w:r>
              <w:rPr>
                <w:sz w:val="26"/>
                <w:rtl/>
              </w:rPr>
              <w:t>ל</w:t>
            </w:r>
            <w:r>
              <w:rPr>
                <w:rFonts w:hint="cs"/>
                <w:sz w:val="26"/>
                <w:rtl/>
              </w:rPr>
              <w:t>תעד, לצ</w:t>
            </w:r>
            <w:r>
              <w:rPr>
                <w:sz w:val="26"/>
                <w:rtl/>
              </w:rPr>
              <w:t xml:space="preserve">לם, להקליט או לשדר דיון המתנהל בדלתיים פתוחות בבית המשפט. </w:t>
            </w:r>
          </w:p>
        </w:tc>
      </w:tr>
      <w:tr w:rsidR="00576CBD" w14:paraId="2B0A9BBF" w14:textId="77777777" w:rsidTr="00576CBD">
        <w:tblPrEx>
          <w:tblLook w:val="01E0" w:firstRow="1" w:lastRow="1" w:firstColumn="1" w:lastColumn="1" w:noHBand="0" w:noVBand="0"/>
        </w:tblPrEx>
        <w:trPr>
          <w:cantSplit/>
          <w:trHeight w:val="60"/>
        </w:trPr>
        <w:tc>
          <w:tcPr>
            <w:tcW w:w="1870" w:type="dxa"/>
          </w:tcPr>
          <w:p w14:paraId="7B2F6549" w14:textId="77777777" w:rsidR="00576CBD" w:rsidRDefault="00576CBD" w:rsidP="00576CBD">
            <w:pPr>
              <w:pStyle w:val="TableSideHeading"/>
            </w:pPr>
          </w:p>
        </w:tc>
        <w:tc>
          <w:tcPr>
            <w:tcW w:w="624" w:type="dxa"/>
          </w:tcPr>
          <w:p w14:paraId="644D97FB" w14:textId="77777777" w:rsidR="00576CBD" w:rsidRDefault="00576CBD" w:rsidP="00576CBD">
            <w:pPr>
              <w:pStyle w:val="TableText"/>
            </w:pPr>
          </w:p>
        </w:tc>
        <w:tc>
          <w:tcPr>
            <w:tcW w:w="624" w:type="dxa"/>
          </w:tcPr>
          <w:p w14:paraId="0FCC58C5" w14:textId="77777777" w:rsidR="00576CBD" w:rsidRDefault="00576CBD" w:rsidP="00576CBD">
            <w:pPr>
              <w:pStyle w:val="TableText"/>
              <w:rPr>
                <w:sz w:val="26"/>
                <w:rtl/>
              </w:rPr>
            </w:pPr>
          </w:p>
        </w:tc>
        <w:tc>
          <w:tcPr>
            <w:tcW w:w="6521" w:type="dxa"/>
          </w:tcPr>
          <w:p w14:paraId="2D763637" w14:textId="20CCA8BE" w:rsidR="00576CBD" w:rsidRDefault="00576CBD" w:rsidP="00576CBD">
            <w:pPr>
              <w:pStyle w:val="TableBlock"/>
              <w:rPr>
                <w:sz w:val="26"/>
                <w:rtl/>
              </w:rPr>
            </w:pPr>
            <w:r>
              <w:rPr>
                <w:sz w:val="26"/>
                <w:rtl/>
              </w:rPr>
              <w:t>(</w:t>
            </w:r>
            <w:r>
              <w:rPr>
                <w:rFonts w:hint="cs"/>
                <w:sz w:val="26"/>
                <w:rtl/>
              </w:rPr>
              <w:t>2</w:t>
            </w:r>
            <w:r>
              <w:rPr>
                <w:sz w:val="26"/>
                <w:rtl/>
              </w:rPr>
              <w:t>)</w:t>
            </w:r>
            <w:r>
              <w:rPr>
                <w:sz w:val="26"/>
                <w:rtl/>
              </w:rPr>
              <w:tab/>
              <w:t>שר המשפטים, בהתייעצות עם נשיא בית המשפט העליון ובאישור ועדת החוקה חוק ומשפט של הכנסת, רשאי לקבוע כללים והנחיות לביצוע סעיף זה, וכן להבטחת הניהול התקין והראוי של הדיונים האמורים בסעיף קטן (</w:t>
            </w:r>
            <w:r>
              <w:rPr>
                <w:rFonts w:hint="cs"/>
                <w:sz w:val="26"/>
                <w:rtl/>
              </w:rPr>
              <w:t>1</w:t>
            </w:r>
            <w:r>
              <w:rPr>
                <w:sz w:val="26"/>
                <w:rtl/>
              </w:rPr>
              <w:t>), קיום הליך הוגן ושמירת כבודם של בית המשפט והצדדים; הכללים וההנחיות יפורסמו ברשומות.</w:t>
            </w:r>
          </w:p>
        </w:tc>
      </w:tr>
      <w:tr w:rsidR="00576CBD" w14:paraId="3F09D6C6" w14:textId="77777777" w:rsidTr="00576CBD">
        <w:tblPrEx>
          <w:tblLook w:val="01E0" w:firstRow="1" w:lastRow="1" w:firstColumn="1" w:lastColumn="1" w:noHBand="0" w:noVBand="0"/>
        </w:tblPrEx>
        <w:trPr>
          <w:cantSplit/>
          <w:trHeight w:val="60"/>
        </w:trPr>
        <w:tc>
          <w:tcPr>
            <w:tcW w:w="1870" w:type="dxa"/>
          </w:tcPr>
          <w:p w14:paraId="0F858CFB" w14:textId="77777777" w:rsidR="00576CBD" w:rsidRDefault="00576CBD" w:rsidP="00576CBD">
            <w:pPr>
              <w:pStyle w:val="TableSideHeading"/>
            </w:pPr>
          </w:p>
        </w:tc>
        <w:tc>
          <w:tcPr>
            <w:tcW w:w="624" w:type="dxa"/>
          </w:tcPr>
          <w:p w14:paraId="117E3401" w14:textId="77777777" w:rsidR="00576CBD" w:rsidRDefault="00576CBD" w:rsidP="00576CBD">
            <w:pPr>
              <w:pStyle w:val="TableText"/>
            </w:pPr>
          </w:p>
        </w:tc>
        <w:tc>
          <w:tcPr>
            <w:tcW w:w="624" w:type="dxa"/>
          </w:tcPr>
          <w:p w14:paraId="319DD465" w14:textId="77777777" w:rsidR="00576CBD" w:rsidRDefault="00576CBD" w:rsidP="00576CBD">
            <w:pPr>
              <w:pStyle w:val="TableText"/>
              <w:rPr>
                <w:sz w:val="26"/>
                <w:rtl/>
              </w:rPr>
            </w:pPr>
          </w:p>
        </w:tc>
        <w:tc>
          <w:tcPr>
            <w:tcW w:w="6521" w:type="dxa"/>
          </w:tcPr>
          <w:p w14:paraId="0EE9EBDB" w14:textId="66724A27" w:rsidR="00576CBD" w:rsidRDefault="00576CBD" w:rsidP="00576CBD">
            <w:pPr>
              <w:pStyle w:val="TableBlock"/>
              <w:rPr>
                <w:sz w:val="26"/>
                <w:rtl/>
              </w:rPr>
            </w:pPr>
            <w:r>
              <w:rPr>
                <w:sz w:val="26"/>
                <w:rtl/>
              </w:rPr>
              <w:t>(</w:t>
            </w:r>
            <w:r>
              <w:rPr>
                <w:rFonts w:hint="cs"/>
                <w:sz w:val="26"/>
                <w:rtl/>
              </w:rPr>
              <w:t>3</w:t>
            </w:r>
            <w:r>
              <w:rPr>
                <w:sz w:val="26"/>
                <w:rtl/>
              </w:rPr>
              <w:t>)</w:t>
            </w:r>
            <w:r>
              <w:rPr>
                <w:sz w:val="26"/>
                <w:rtl/>
              </w:rPr>
              <w:tab/>
              <w:t xml:space="preserve">שר המשפטים, בהתייעצות עם נשיא בית המשפט העליון ובאישור ועדת החוקה חוק ומשפט של הכנסת, יהא רשאי לקבוע בתוספת סוגי הליכים  אשר  </w:t>
            </w:r>
            <w:r>
              <w:rPr>
                <w:rFonts w:hint="cs"/>
                <w:sz w:val="26"/>
                <w:rtl/>
              </w:rPr>
              <w:t>אסור</w:t>
            </w:r>
            <w:r>
              <w:rPr>
                <w:sz w:val="26"/>
                <w:rtl/>
              </w:rPr>
              <w:t xml:space="preserve"> </w:t>
            </w:r>
            <w:r>
              <w:rPr>
                <w:rFonts w:hint="cs"/>
                <w:sz w:val="26"/>
                <w:rtl/>
              </w:rPr>
              <w:t>יהיה לצלם, להקליט או לשדר אותם</w:t>
            </w:r>
            <w:r>
              <w:rPr>
                <w:sz w:val="26"/>
                <w:rtl/>
              </w:rPr>
              <w:t>."</w:t>
            </w:r>
          </w:p>
        </w:tc>
      </w:tr>
      <w:tr w:rsidR="00576CBD" w14:paraId="20788E64" w14:textId="77777777" w:rsidTr="00576CBD">
        <w:trPr>
          <w:cantSplit/>
        </w:trPr>
        <w:tc>
          <w:tcPr>
            <w:tcW w:w="1870" w:type="dxa"/>
            <w:tcBorders>
              <w:top w:val="nil"/>
              <w:left w:val="nil"/>
              <w:bottom w:val="nil"/>
              <w:right w:val="nil"/>
            </w:tcBorders>
          </w:tcPr>
          <w:p w14:paraId="4A7ED64E" w14:textId="77777777" w:rsidR="00576CBD" w:rsidRDefault="00576CBD" w:rsidP="00576CBD">
            <w:pPr>
              <w:pStyle w:val="TableSideHeading"/>
            </w:pPr>
            <w:r>
              <w:rPr>
                <w:sz w:val="26"/>
                <w:rtl/>
              </w:rPr>
              <w:t>תחילה</w:t>
            </w:r>
          </w:p>
        </w:tc>
        <w:tc>
          <w:tcPr>
            <w:tcW w:w="624" w:type="dxa"/>
            <w:tcBorders>
              <w:top w:val="nil"/>
              <w:left w:val="nil"/>
              <w:bottom w:val="nil"/>
              <w:right w:val="nil"/>
            </w:tcBorders>
          </w:tcPr>
          <w:p w14:paraId="7EF0434D" w14:textId="77777777" w:rsidR="00576CBD" w:rsidRDefault="00576CBD" w:rsidP="00576CBD">
            <w:pPr>
              <w:pStyle w:val="TableText"/>
              <w:jc w:val="both"/>
            </w:pPr>
            <w:r>
              <w:rPr>
                <w:sz w:val="26"/>
                <w:rtl/>
              </w:rPr>
              <w:t>2.</w:t>
            </w:r>
          </w:p>
        </w:tc>
        <w:tc>
          <w:tcPr>
            <w:tcW w:w="7145" w:type="dxa"/>
            <w:gridSpan w:val="2"/>
            <w:tcBorders>
              <w:top w:val="nil"/>
              <w:left w:val="nil"/>
              <w:bottom w:val="nil"/>
              <w:right w:val="nil"/>
            </w:tcBorders>
          </w:tcPr>
          <w:p w14:paraId="6252E06D" w14:textId="77777777" w:rsidR="00576CBD" w:rsidRDefault="00576CBD" w:rsidP="00576CBD">
            <w:pPr>
              <w:pStyle w:val="TableBlock"/>
            </w:pPr>
            <w:r>
              <w:rPr>
                <w:sz w:val="26"/>
                <w:rtl/>
              </w:rPr>
              <w:t>תחילתו של חוק זה שישה חודשים מיום פרסומו.</w:t>
            </w:r>
          </w:p>
        </w:tc>
      </w:tr>
    </w:tbl>
    <w:p w14:paraId="03191159" w14:textId="77777777" w:rsidR="00C842AB" w:rsidRPr="008F0317" w:rsidRDefault="00C842AB" w:rsidP="008F0317">
      <w:pPr>
        <w:pStyle w:val="HeadDivreiHesber"/>
        <w:rPr>
          <w:rtl/>
        </w:rPr>
      </w:pPr>
      <w:r w:rsidRPr="008F0317">
        <w:rPr>
          <w:rFonts w:hint="cs"/>
          <w:rtl/>
        </w:rPr>
        <w:t>דברי הסבר</w:t>
      </w:r>
    </w:p>
    <w:p w14:paraId="73BB25F2" w14:textId="77777777" w:rsidR="00C842AB" w:rsidRPr="008F0317" w:rsidRDefault="00C842AB" w:rsidP="008F0317">
      <w:pPr>
        <w:pStyle w:val="Hesber"/>
        <w:rPr>
          <w:rtl/>
        </w:rPr>
      </w:pPr>
      <w:r w:rsidRPr="008F0317">
        <w:rPr>
          <w:rFonts w:hint="cs"/>
          <w:rtl/>
        </w:rPr>
        <w:t xml:space="preserve">הצעת חוק זו באה להסדיר לראשונה את האפשרות לתעד, באמצעות הקלטה, צילום ושידור, דיונים המתקיימים בבתי המשפט בישראל. בכך, יביא החוק להשוואת המצב בעניין זה למצב הקיים מזה שנים במדינות מערביות רבות. </w:t>
      </w:r>
    </w:p>
    <w:p w14:paraId="6DABB1F8" w14:textId="77777777" w:rsidR="00C842AB" w:rsidRPr="008F0317" w:rsidRDefault="00C842AB" w:rsidP="008F0317">
      <w:pPr>
        <w:pStyle w:val="Hesber"/>
        <w:rPr>
          <w:rtl/>
        </w:rPr>
      </w:pPr>
      <w:r w:rsidRPr="008F0317">
        <w:rPr>
          <w:rFonts w:hint="cs"/>
          <w:rtl/>
        </w:rPr>
        <w:t>סעיף 68 לחוק בתי המשפט [נוסח משולב], התשמ"ד</w:t>
      </w:r>
      <w:r w:rsidRPr="008F0317">
        <w:rPr>
          <w:rtl/>
        </w:rPr>
        <w:t>–</w:t>
      </w:r>
      <w:r w:rsidRPr="008F0317">
        <w:rPr>
          <w:rFonts w:hint="cs"/>
          <w:rtl/>
        </w:rPr>
        <w:t xml:space="preserve">1984 (להלן </w:t>
      </w:r>
      <w:r w:rsidRPr="008F0317">
        <w:rPr>
          <w:rtl/>
        </w:rPr>
        <w:t>–</w:t>
      </w:r>
      <w:r w:rsidRPr="008F0317">
        <w:rPr>
          <w:rFonts w:hint="cs"/>
          <w:rtl/>
        </w:rPr>
        <w:t xml:space="preserve"> חוק בתי המשפט) קובע כי בית המשפט ידון בפומבי. אולם על אף חשיבותו של עקרון זה, במועד חיקוק החוק, קבע המחוקק כי יאסר צילום באולם בית המשפט. קביעה זו אסרה למעשה כל תיעוד או הקלטה של דיון המתנהל בבית המשפט, </w:t>
      </w:r>
      <w:r w:rsidRPr="008F0317">
        <w:rPr>
          <w:rFonts w:hint="cs"/>
          <w:rtl/>
        </w:rPr>
        <w:lastRenderedPageBreak/>
        <w:t xml:space="preserve">למעט במקרים חריגים. </w:t>
      </w:r>
    </w:p>
    <w:p w14:paraId="6ED76E01" w14:textId="77777777" w:rsidR="00C842AB" w:rsidRPr="008F0317" w:rsidRDefault="00C842AB" w:rsidP="008F0317">
      <w:pPr>
        <w:pStyle w:val="Hesber"/>
        <w:rPr>
          <w:rtl/>
        </w:rPr>
      </w:pPr>
      <w:r w:rsidRPr="008F0317">
        <w:rPr>
          <w:rFonts w:hint="cs"/>
          <w:rtl/>
        </w:rPr>
        <w:t>הצעת חוק זו באה לשנות את המצב המשפטי הקיים, כך שתיעוד דיונים בבתי משפט יותר, למעט במקרים בהם יקבע כי אין לאפשר תיעוד ושידור של דיון בבית משפט. באותם מקרים בהם לא יותר תיעוד הדיון, בהתאם לברירת המחדל בחוק המוצע, יתקיים המנגנון המתואר בסעיף 68ב לחוק, המאפשר לבעל דין לבקש מבית המשפט הקלטה, צילום או שידור של הדיון.</w:t>
      </w:r>
    </w:p>
    <w:p w14:paraId="59A40064" w14:textId="77777777" w:rsidR="00C842AB" w:rsidRPr="008F0317" w:rsidRDefault="00C842AB" w:rsidP="008F0317">
      <w:pPr>
        <w:pStyle w:val="Hesber"/>
        <w:rPr>
          <w:rtl/>
        </w:rPr>
      </w:pPr>
      <w:r w:rsidRPr="008F0317">
        <w:rPr>
          <w:rFonts w:hint="cs"/>
          <w:rtl/>
        </w:rPr>
        <w:t xml:space="preserve">מאז חקיקתו של החוק המקורי חלו תמורות רבות במפת התקשורת, בסיקור מוסדות ציבור, וכן בהליכים שמטרתם להגביר את השקיפות של המערכות הציבוריות. זכות הציבור לדעת, עיקרון פומביות הדיון, שקיפות ציבורית, ושותפות הציבור בהליכי קבלת החלטות הם חלק בלתי נפרד מסדר היום הציבורי. כך למשל בשנים האחרונות החלה הכנסת לשדר בשידור ישיר דיוני ועדות רבים, דיוני ועדת הבחירות המרכזית לכנסת משודרים בשידור ישיר אף שמדובר בהליך מעין שיפוטי, פגישות נציגי הסיעות עם נשיא המדינה בעת הליך הרכבת הממשלה משודרות גם הן. כמו כן חוקק חוק חופש המידע, התשנ"ח–1998 המאפשר לציבור לקבל מידע ציבורי, נבחרי ציבור רבים מציגים לציבור את יומניהם, ועוד. כל אלו תרמו לשקיפות ולהגברת אמון הציבור. אולם בכל הנוגע לתיעוד דיונים בבתי המשפט נותר החוק הרבה מאחור. </w:t>
      </w:r>
    </w:p>
    <w:p w14:paraId="03AFE90E" w14:textId="77777777" w:rsidR="00C842AB" w:rsidRPr="008F0317" w:rsidRDefault="00C842AB" w:rsidP="008F0317">
      <w:pPr>
        <w:pStyle w:val="Hesber"/>
        <w:rPr>
          <w:rtl/>
        </w:rPr>
      </w:pPr>
      <w:r w:rsidRPr="008F0317">
        <w:rPr>
          <w:rFonts w:hint="cs"/>
          <w:rtl/>
        </w:rPr>
        <w:t xml:space="preserve">הגבלה זו, פוגעת באמון הציבור במערכת בתי המשפט, ובייחוד שעה שמדובר במערכת שבידיה נתונות סמכויות להשפיע על כלל המערכות הציבוריות, העוסקת בזכויות היסוד הבסיסיות ביותר של כל אדם בישראל. אין היגיון בכך שבשעה שמרבית הדיונים פתוחים לציבור, כך שכל אדם יכול להגיע ולהשתתף בהם פיזית, אסור להקליט או לצלם את אותו דיון ממש. אם ראוי היה שלא לפרסם את מרבית הדיונים, הרי שהיה צורך גם לאסור את הכניסה אליהם של אזרחים שאינם נדרשים לדיון. אולם משעה שהוחלט שאין מניעה מהשתתפות בדיון לכלל אזרחי המדינה, הרי שאין כל מניעה לתת אפשרות לצלם ולהקליט את הדיון, ובכך להנגיש את דיוני בתי המשפט גם למי שאין ביכולתו להגיע פיזית לבית המשפט. </w:t>
      </w:r>
    </w:p>
    <w:p w14:paraId="3A66B015" w14:textId="576028F9" w:rsidR="00C842AB" w:rsidRPr="008F0317" w:rsidRDefault="00C842AB" w:rsidP="008F0317">
      <w:pPr>
        <w:pStyle w:val="Hesber"/>
        <w:rPr>
          <w:rtl/>
        </w:rPr>
      </w:pPr>
      <w:r w:rsidRPr="008F0317">
        <w:rPr>
          <w:rFonts w:hint="cs"/>
          <w:rtl/>
        </w:rPr>
        <w:t>לאור האמור, גובשה הצעת חוק זו שבאה לשנות את ברירת המחדל, ולקבוע כי ניתן לתעד דיונים המתקיימים בבתי המשפט, למעט בסוגי דיונים שייקבע מראש כי הם אסורים בתיעוד.</w:t>
      </w:r>
    </w:p>
    <w:p w14:paraId="107DF58A" w14:textId="3D461FC2" w:rsidR="00C842AB" w:rsidRPr="008F0317" w:rsidRDefault="00576CBD" w:rsidP="008F0317">
      <w:pPr>
        <w:pStyle w:val="Hesber"/>
        <w:rPr>
          <w:rtl/>
        </w:rPr>
      </w:pPr>
      <w:r>
        <w:rPr>
          <w:rFonts w:hint="cs"/>
          <w:rtl/>
        </w:rPr>
        <w:t>הצעות חוק זהות הונחו</w:t>
      </w:r>
      <w:r w:rsidR="008F0317" w:rsidRPr="008F0317">
        <w:rPr>
          <w:rFonts w:hint="cs"/>
          <w:rtl/>
        </w:rPr>
        <w:t xml:space="preserve"> על שולחן הכנסת העשרים ושלוש </w:t>
      </w:r>
      <w:r w:rsidR="00E26E4E">
        <w:rPr>
          <w:rFonts w:hint="cs"/>
          <w:rtl/>
        </w:rPr>
        <w:t xml:space="preserve">ועל שולחן הכנסת העשרים וארבע </w:t>
      </w:r>
      <w:r w:rsidR="00F11AA6">
        <w:rPr>
          <w:rFonts w:hint="cs"/>
          <w:rtl/>
        </w:rPr>
        <w:t>על ידי חברת הכנסת אי</w:t>
      </w:r>
      <w:r w:rsidR="008F0317" w:rsidRPr="008F0317">
        <w:rPr>
          <w:rFonts w:hint="cs"/>
          <w:rtl/>
        </w:rPr>
        <w:t xml:space="preserve">לת שקד וקבוצת חברי הכנסת </w:t>
      </w:r>
      <w:r w:rsidR="00C842AB" w:rsidRPr="008F0317">
        <w:rPr>
          <w:rFonts w:hint="cs"/>
          <w:rtl/>
        </w:rPr>
        <w:t>(פ/918/23</w:t>
      </w:r>
      <w:r w:rsidR="00E26E4E">
        <w:rPr>
          <w:rFonts w:hint="cs"/>
          <w:rtl/>
        </w:rPr>
        <w:t>; פ/372/24</w:t>
      </w:r>
      <w:r w:rsidR="00C842AB" w:rsidRPr="008F0317">
        <w:rPr>
          <w:rFonts w:hint="cs"/>
          <w:rtl/>
        </w:rPr>
        <w:t>).</w:t>
      </w:r>
    </w:p>
    <w:p w14:paraId="574688A7" w14:textId="57DFE466" w:rsidR="008F0317" w:rsidRPr="008F0317" w:rsidRDefault="00337CFD" w:rsidP="008F0317">
      <w:pPr>
        <w:pStyle w:val="Hesber"/>
      </w:pPr>
      <w:r>
        <w:rPr>
          <w:rFonts w:hint="cs"/>
          <w:rtl/>
        </w:rPr>
        <w:t>הצעת החוק</w:t>
      </w:r>
      <w:r w:rsidR="008F0317" w:rsidRPr="008F0317">
        <w:rPr>
          <w:rtl/>
        </w:rPr>
        <w:t xml:space="preserve"> זהה לפ/</w:t>
      </w:r>
      <w:r w:rsidR="008F0317" w:rsidRPr="008F0317">
        <w:rPr>
          <w:rFonts w:hint="cs"/>
          <w:rtl/>
        </w:rPr>
        <w:t>918/23</w:t>
      </w:r>
      <w:r w:rsidR="008F0317" w:rsidRPr="008F0317">
        <w:rPr>
          <w:rtl/>
        </w:rPr>
        <w:t xml:space="preserve"> ולפיכך לא נבדקה מחדש על ידי הלשכה המשפטית של הכנסת</w:t>
      </w:r>
      <w:r w:rsidR="008F0317" w:rsidRPr="008F0317">
        <w:rPr>
          <w:rFonts w:hint="cs"/>
          <w:rtl/>
        </w:rPr>
        <w:t>.</w:t>
      </w:r>
    </w:p>
    <w:p w14:paraId="62098B26" w14:textId="77777777" w:rsidR="008F0317" w:rsidRPr="008F0317" w:rsidRDefault="008F0317" w:rsidP="008F0317">
      <w:pPr>
        <w:pStyle w:val="Hesber"/>
        <w:rPr>
          <w:rtl/>
        </w:rPr>
      </w:pPr>
    </w:p>
    <w:p w14:paraId="4B4175CA" w14:textId="77777777" w:rsidR="00C842AB" w:rsidRPr="008F0317" w:rsidRDefault="00C842AB" w:rsidP="008F0317">
      <w:pPr>
        <w:pStyle w:val="Hesber"/>
      </w:pPr>
    </w:p>
    <w:p w14:paraId="7F6961CB" w14:textId="4662A647" w:rsidR="00E13C27" w:rsidRPr="00C842AB" w:rsidRDefault="00E13C27" w:rsidP="00C842AB">
      <w:pPr>
        <w:rPr>
          <w:rtl/>
        </w:rPr>
      </w:pPr>
    </w:p>
    <w:p w14:paraId="741C04FA" w14:textId="77777777" w:rsidR="00E7684C" w:rsidRDefault="00F11AA6">
      <w:pPr>
        <w:jc w:val="left"/>
      </w:pPr>
      <w:bookmarkStart w:id="4" w:name="selectedDocDateB"/>
      <w:bookmarkEnd w:id="4"/>
      <w:r>
        <w:rPr>
          <w:rFonts w:eastAsia="David" w:hint="cs"/>
          <w:sz w:val="26"/>
          <w:szCs w:val="26"/>
          <w:rtl/>
        </w:rPr>
        <w:t>--------------------------------</w:t>
      </w:r>
    </w:p>
    <w:p w14:paraId="71F7DF08" w14:textId="77777777" w:rsidR="00E7684C" w:rsidRDefault="00F11AA6">
      <w:pPr>
        <w:jc w:val="left"/>
      </w:pPr>
      <w:r>
        <w:rPr>
          <w:rFonts w:eastAsia="David" w:hint="cs"/>
          <w:sz w:val="26"/>
          <w:szCs w:val="26"/>
          <w:rtl/>
        </w:rPr>
        <w:t>הוגשה ליו"ר הכנסת והסגנים</w:t>
      </w:r>
    </w:p>
    <w:p w14:paraId="4D342B9E" w14:textId="77777777" w:rsidR="00E7684C" w:rsidRDefault="00F11AA6">
      <w:pPr>
        <w:jc w:val="left"/>
      </w:pPr>
      <w:r>
        <w:rPr>
          <w:rFonts w:eastAsia="David" w:hint="cs"/>
          <w:sz w:val="26"/>
          <w:szCs w:val="26"/>
          <w:rtl/>
        </w:rPr>
        <w:t>והונחה על שולחן הכנסת ביום</w:t>
      </w:r>
    </w:p>
    <w:p w14:paraId="657A3406" w14:textId="77777777" w:rsidR="00E7684C" w:rsidRDefault="00F11AA6">
      <w:pPr>
        <w:jc w:val="left"/>
      </w:pPr>
      <w:r>
        <w:rPr>
          <w:rFonts w:eastAsia="David" w:hint="cs"/>
          <w:sz w:val="26"/>
          <w:szCs w:val="26"/>
          <w:rtl/>
        </w:rPr>
        <w:t xml:space="preserve">כ"ח באייר התשפ"א (10.05.2021) </w:t>
      </w:r>
    </w:p>
    <w:p w14:paraId="690B5DD8" w14:textId="77777777" w:rsidR="00E7684C" w:rsidRDefault="00E7684C">
      <w:pPr>
        <w:spacing w:line="276" w:lineRule="auto"/>
        <w:jc w:val="left"/>
      </w:pPr>
    </w:p>
    <w:sectPr w:rsidR="00E7684C" w:rsidSect="008F0317">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981891">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8F0317">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950AB3D" w14:textId="77777777" w:rsidR="00C842AB" w:rsidRDefault="00C842AB" w:rsidP="00C842AB">
      <w:pPr>
        <w:pStyle w:val="a4"/>
      </w:pPr>
      <w:r>
        <w:rPr>
          <w:rStyle w:val="a6"/>
        </w:rPr>
        <w:footnoteRef/>
      </w:r>
      <w:r>
        <w:t xml:space="preserve"> </w:t>
      </w:r>
      <w:r>
        <w:rPr>
          <w:sz w:val="20"/>
          <w:rtl/>
        </w:rPr>
        <w:t xml:space="preserve"> ס"ח התשמ"ד, עמ'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5AFD"/>
    <w:rsid w:val="0010644B"/>
    <w:rsid w:val="001207F8"/>
    <w:rsid w:val="00121924"/>
    <w:rsid w:val="001279A8"/>
    <w:rsid w:val="0014195F"/>
    <w:rsid w:val="00152609"/>
    <w:rsid w:val="00153E1B"/>
    <w:rsid w:val="001A0623"/>
    <w:rsid w:val="001C23B0"/>
    <w:rsid w:val="001D7AAF"/>
    <w:rsid w:val="00200D68"/>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37CFD"/>
    <w:rsid w:val="0036422C"/>
    <w:rsid w:val="003710F6"/>
    <w:rsid w:val="00386E88"/>
    <w:rsid w:val="00396585"/>
    <w:rsid w:val="003D6E38"/>
    <w:rsid w:val="003D74A0"/>
    <w:rsid w:val="003E6B98"/>
    <w:rsid w:val="004033D8"/>
    <w:rsid w:val="004073F0"/>
    <w:rsid w:val="00412A7D"/>
    <w:rsid w:val="00416B4D"/>
    <w:rsid w:val="00417CFC"/>
    <w:rsid w:val="004A06DC"/>
    <w:rsid w:val="004B24ED"/>
    <w:rsid w:val="004B6625"/>
    <w:rsid w:val="004C28A9"/>
    <w:rsid w:val="004D2D82"/>
    <w:rsid w:val="004D3876"/>
    <w:rsid w:val="004E4552"/>
    <w:rsid w:val="004E6CDF"/>
    <w:rsid w:val="00553C9D"/>
    <w:rsid w:val="00562A66"/>
    <w:rsid w:val="00576CBD"/>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31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1891"/>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842AB"/>
    <w:rsid w:val="00C9176A"/>
    <w:rsid w:val="00CF1AA2"/>
    <w:rsid w:val="00D142D3"/>
    <w:rsid w:val="00D17774"/>
    <w:rsid w:val="00D63620"/>
    <w:rsid w:val="00D8410D"/>
    <w:rsid w:val="00D867D7"/>
    <w:rsid w:val="00DB7060"/>
    <w:rsid w:val="00DE3153"/>
    <w:rsid w:val="00E06736"/>
    <w:rsid w:val="00E13C27"/>
    <w:rsid w:val="00E26E4E"/>
    <w:rsid w:val="00E33BBD"/>
    <w:rsid w:val="00E374F2"/>
    <w:rsid w:val="00E45103"/>
    <w:rsid w:val="00E55A60"/>
    <w:rsid w:val="00E62778"/>
    <w:rsid w:val="00E635A2"/>
    <w:rsid w:val="00E63D38"/>
    <w:rsid w:val="00E665B9"/>
    <w:rsid w:val="00E7684C"/>
    <w:rsid w:val="00EA01E6"/>
    <w:rsid w:val="00EA3DE8"/>
    <w:rsid w:val="00EA758F"/>
    <w:rsid w:val="00ED4A6F"/>
    <w:rsid w:val="00EF3A3A"/>
    <w:rsid w:val="00F11AA6"/>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678435EB-499D-4767-9FCA-D9AAEEC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17"/>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8F031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F031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F031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F0317"/>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F0317"/>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8F031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F0317"/>
    <w:rPr>
      <w:sz w:val="36"/>
      <w:szCs w:val="52"/>
    </w:rPr>
  </w:style>
  <w:style w:type="paragraph" w:customStyle="1" w:styleId="Cover3-Haknesset">
    <w:name w:val="Cover 3-Haknesset"/>
    <w:basedOn w:val="Cover1-Reshumot"/>
    <w:rsid w:val="008F0317"/>
    <w:rPr>
      <w:b/>
      <w:bCs/>
      <w:spacing w:val="60"/>
    </w:rPr>
  </w:style>
  <w:style w:type="paragraph" w:customStyle="1" w:styleId="Cover4-Date">
    <w:name w:val="Cover 4-Date"/>
    <w:basedOn w:val="a"/>
    <w:rsid w:val="008F031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8F031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F0317"/>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8F0317"/>
    <w:pPr>
      <w:spacing w:before="120" w:after="120"/>
    </w:pPr>
    <w:rPr>
      <w:color w:val="FF0000"/>
      <w:w w:val="80"/>
    </w:rPr>
  </w:style>
  <w:style w:type="paragraph" w:styleId="a3">
    <w:name w:val="endnote text"/>
    <w:basedOn w:val="a"/>
    <w:semiHidden/>
    <w:rsid w:val="008F0317"/>
    <w:pPr>
      <w:ind w:left="227" w:hanging="227"/>
    </w:pPr>
    <w:rPr>
      <w:sz w:val="14"/>
      <w:szCs w:val="22"/>
    </w:rPr>
  </w:style>
  <w:style w:type="paragraph" w:customStyle="1" w:styleId="TableText">
    <w:name w:val="Table Text"/>
    <w:basedOn w:val="a"/>
    <w:rsid w:val="008F031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8F0317"/>
    <w:pPr>
      <w:outlineLvl w:val="2"/>
    </w:pPr>
  </w:style>
  <w:style w:type="paragraph" w:customStyle="1" w:styleId="TableBlock">
    <w:name w:val="Table Block"/>
    <w:basedOn w:val="TableText"/>
    <w:rsid w:val="008F0317"/>
    <w:pPr>
      <w:jc w:val="both"/>
    </w:pPr>
  </w:style>
  <w:style w:type="paragraph" w:customStyle="1" w:styleId="TableHead">
    <w:name w:val="Table Head"/>
    <w:basedOn w:val="TableText"/>
    <w:rsid w:val="008F0317"/>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8F0317"/>
    <w:pPr>
      <w:outlineLvl w:val="9"/>
    </w:pPr>
  </w:style>
  <w:style w:type="paragraph" w:customStyle="1" w:styleId="Hesber">
    <w:name w:val="Hesber"/>
    <w:basedOn w:val="a"/>
    <w:rsid w:val="008F0317"/>
    <w:pPr>
      <w:snapToGrid w:val="0"/>
      <w:ind w:left="0" w:firstLine="340"/>
    </w:pPr>
    <w:rPr>
      <w:rFonts w:ascii="Arial" w:eastAsia="Arial Unicode MS" w:hAnsi="Arial"/>
      <w:snapToGrid w:val="0"/>
      <w:sz w:val="20"/>
      <w:szCs w:val="26"/>
    </w:rPr>
  </w:style>
  <w:style w:type="paragraph" w:styleId="a4">
    <w:name w:val="footnote text"/>
    <w:basedOn w:val="a"/>
    <w:link w:val="a5"/>
    <w:autoRedefine/>
    <w:rsid w:val="008F0317"/>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rsid w:val="008F0317"/>
    <w:rPr>
      <w:vertAlign w:val="superscript"/>
    </w:rPr>
  </w:style>
  <w:style w:type="paragraph" w:customStyle="1" w:styleId="HesberHeading">
    <w:name w:val="Hesber Heading"/>
    <w:basedOn w:val="Hesber"/>
    <w:rsid w:val="008F0317"/>
    <w:pPr>
      <w:tabs>
        <w:tab w:val="left" w:pos="624"/>
        <w:tab w:val="left" w:pos="1247"/>
      </w:tabs>
    </w:pPr>
    <w:rPr>
      <w:b/>
      <w:bCs/>
    </w:rPr>
  </w:style>
  <w:style w:type="paragraph" w:customStyle="1" w:styleId="HesberWriters">
    <w:name w:val="Hesber Writers"/>
    <w:basedOn w:val="Hesber"/>
    <w:rsid w:val="008F0317"/>
    <w:pPr>
      <w:spacing w:before="120" w:after="120"/>
      <w:ind w:left="1418"/>
      <w:jc w:val="right"/>
    </w:pPr>
    <w:rPr>
      <w:b/>
      <w:bCs/>
    </w:rPr>
  </w:style>
  <w:style w:type="paragraph" w:customStyle="1" w:styleId="Hesber1st">
    <w:name w:val="Hesber 1st"/>
    <w:basedOn w:val="Hesber"/>
    <w:rsid w:val="008F0317"/>
    <w:pPr>
      <w:tabs>
        <w:tab w:val="left" w:pos="680"/>
        <w:tab w:val="left" w:pos="1020"/>
      </w:tabs>
      <w:ind w:firstLine="0"/>
    </w:pPr>
  </w:style>
  <w:style w:type="character" w:styleId="a7">
    <w:name w:val="endnote reference"/>
    <w:basedOn w:val="a0"/>
    <w:semiHidden/>
    <w:rsid w:val="008F0317"/>
    <w:rPr>
      <w:vertAlign w:val="superscript"/>
    </w:rPr>
  </w:style>
  <w:style w:type="paragraph" w:customStyle="1" w:styleId="TableBlockOutdent">
    <w:name w:val="Table BlockOutdent"/>
    <w:basedOn w:val="TableBlock"/>
    <w:rsid w:val="008F0317"/>
    <w:pPr>
      <w:ind w:left="624" w:hanging="624"/>
    </w:pPr>
  </w:style>
  <w:style w:type="paragraph" w:styleId="a8">
    <w:name w:val="header"/>
    <w:basedOn w:val="a"/>
    <w:rsid w:val="008F0317"/>
    <w:pPr>
      <w:tabs>
        <w:tab w:val="center" w:pos="4153"/>
        <w:tab w:val="right" w:pos="8306"/>
      </w:tabs>
    </w:pPr>
  </w:style>
  <w:style w:type="paragraph" w:styleId="a9">
    <w:name w:val="footer"/>
    <w:basedOn w:val="a"/>
    <w:rsid w:val="008F0317"/>
    <w:pPr>
      <w:tabs>
        <w:tab w:val="center" w:pos="4153"/>
        <w:tab w:val="right" w:pos="8306"/>
      </w:tabs>
    </w:pPr>
  </w:style>
  <w:style w:type="paragraph" w:customStyle="1" w:styleId="HeadDivreiHesber">
    <w:name w:val="Head DivreiHesber"/>
    <w:basedOn w:val="a"/>
    <w:rsid w:val="008F0317"/>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8F0317"/>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8F0317"/>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styleId="Hyperlink">
    <w:name w:val="Hyperlink"/>
    <w:basedOn w:val="a0"/>
    <w:uiPriority w:val="99"/>
    <w:unhideWhenUsed/>
    <w:rsid w:val="008F0317"/>
    <w:rPr>
      <w:color w:val="0000FF" w:themeColor="hyperlink"/>
      <w:u w:val="single"/>
    </w:rPr>
  </w:style>
  <w:style w:type="paragraph" w:customStyle="1" w:styleId="headdivreihesber0">
    <w:name w:val="headdivreihesber"/>
    <w:basedOn w:val="a"/>
    <w:rsid w:val="003E6B98"/>
    <w:pPr>
      <w:widowControl/>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hesber0">
    <w:name w:val="hesber"/>
    <w:basedOn w:val="a"/>
    <w:rsid w:val="003E6B98"/>
    <w:pPr>
      <w:widowControl/>
      <w:bidi w:val="0"/>
      <w:spacing w:before="100" w:beforeAutospacing="1" w:after="100" w:afterAutospacing="1" w:line="240" w:lineRule="auto"/>
      <w:jc w:val="left"/>
    </w:pPr>
    <w:rPr>
      <w:rFonts w:ascii="Times New Roman" w:eastAsia="Times New Roman" w:hAnsi="Times New Roman" w:cs="Times New Roman"/>
    </w:rPr>
  </w:style>
  <w:style w:type="character" w:customStyle="1" w:styleId="a5">
    <w:name w:val="טקסט הערת שוליים תו"/>
    <w:basedOn w:val="a0"/>
    <w:link w:val="a4"/>
    <w:rsid w:val="00C842AB"/>
    <w:rPr>
      <w:rFonts w:ascii="Arial" w:eastAsia="Arial Unicode MS" w:hAnsi="Arial" w:cs="David"/>
      <w:snapToGrid w:val="0"/>
      <w:sz w:val="14"/>
    </w:rPr>
  </w:style>
  <w:style w:type="character" w:customStyle="1" w:styleId="10">
    <w:name w:val="כותרת 1 תו"/>
    <w:basedOn w:val="a0"/>
    <w:link w:val="1"/>
    <w:uiPriority w:val="9"/>
    <w:rsid w:val="008F0317"/>
    <w:rPr>
      <w:rFonts w:asciiTheme="majorHAnsi" w:eastAsiaTheme="majorEastAsia" w:hAnsiTheme="majorHAnsi" w:cs="David"/>
      <w:bCs/>
      <w:sz w:val="32"/>
      <w:szCs w:val="36"/>
    </w:rPr>
  </w:style>
  <w:style w:type="character" w:customStyle="1" w:styleId="20">
    <w:name w:val="כותרת 2 תו"/>
    <w:basedOn w:val="a0"/>
    <w:link w:val="2"/>
    <w:rsid w:val="008F0317"/>
    <w:rPr>
      <w:rFonts w:asciiTheme="majorHAnsi" w:eastAsiaTheme="majorEastAsia" w:hAnsiTheme="majorHAnsi" w:cs="David"/>
      <w:bCs/>
      <w:sz w:val="26"/>
      <w:szCs w:val="36"/>
      <w:u w:val="single"/>
    </w:rPr>
  </w:style>
  <w:style w:type="character" w:customStyle="1" w:styleId="30">
    <w:name w:val="כותרת 3 תו"/>
    <w:basedOn w:val="a0"/>
    <w:link w:val="3"/>
    <w:rsid w:val="008F0317"/>
    <w:rPr>
      <w:rFonts w:asciiTheme="majorHAnsi" w:eastAsiaTheme="majorEastAsia" w:hAnsiTheme="majorHAnsi" w:cs="David"/>
      <w:sz w:val="24"/>
      <w:szCs w:val="28"/>
      <w:u w:val="double"/>
    </w:rPr>
  </w:style>
  <w:style w:type="character" w:customStyle="1" w:styleId="40">
    <w:name w:val="כותרת 4 תו"/>
    <w:basedOn w:val="a0"/>
    <w:link w:val="4"/>
    <w:uiPriority w:val="9"/>
    <w:rsid w:val="008F0317"/>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8F0317"/>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8F0317"/>
    <w:pPr>
      <w:widowControl/>
      <w:spacing w:before="120" w:after="120"/>
      <w:outlineLvl w:val="9"/>
    </w:pPr>
    <w:rPr>
      <w:rtl/>
      <w:cs/>
    </w:rPr>
  </w:style>
  <w:style w:type="paragraph" w:styleId="TOC1">
    <w:name w:val="toc 1"/>
    <w:basedOn w:val="a"/>
    <w:next w:val="a"/>
    <w:autoRedefine/>
    <w:uiPriority w:val="39"/>
    <w:unhideWhenUsed/>
    <w:rsid w:val="008F0317"/>
    <w:pPr>
      <w:tabs>
        <w:tab w:val="right" w:leader="dot" w:pos="9629"/>
      </w:tabs>
      <w:spacing w:after="100"/>
    </w:pPr>
    <w:rPr>
      <w:bCs/>
      <w:szCs w:val="22"/>
    </w:rPr>
  </w:style>
  <w:style w:type="paragraph" w:styleId="TOC2">
    <w:name w:val="toc 2"/>
    <w:basedOn w:val="a"/>
    <w:next w:val="a"/>
    <w:uiPriority w:val="39"/>
    <w:unhideWhenUsed/>
    <w:rsid w:val="008F0317"/>
    <w:pPr>
      <w:tabs>
        <w:tab w:val="right" w:leader="dot" w:pos="9628"/>
      </w:tabs>
      <w:spacing w:after="100"/>
    </w:pPr>
    <w:rPr>
      <w:szCs w:val="22"/>
    </w:rPr>
  </w:style>
  <w:style w:type="paragraph" w:styleId="TOC3">
    <w:name w:val="toc 3"/>
    <w:basedOn w:val="a"/>
    <w:next w:val="a"/>
    <w:uiPriority w:val="39"/>
    <w:unhideWhenUsed/>
    <w:rsid w:val="008F0317"/>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8F031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F0317"/>
    <w:pPr>
      <w:tabs>
        <w:tab w:val="right" w:leader="dot" w:pos="9628"/>
      </w:tabs>
      <w:spacing w:after="100"/>
      <w:ind w:left="567"/>
    </w:pPr>
    <w:rPr>
      <w:szCs w:val="22"/>
    </w:rPr>
  </w:style>
  <w:style w:type="paragraph" w:styleId="TOC6">
    <w:name w:val="toc 6"/>
    <w:basedOn w:val="a"/>
    <w:next w:val="a"/>
    <w:autoRedefine/>
    <w:semiHidden/>
    <w:unhideWhenUsed/>
    <w:rsid w:val="008F0317"/>
    <w:pPr>
      <w:spacing w:after="100"/>
      <w:ind w:left="850"/>
    </w:pPr>
  </w:style>
  <w:style w:type="paragraph" w:styleId="TOC7">
    <w:name w:val="toc 7"/>
    <w:basedOn w:val="a"/>
    <w:next w:val="a"/>
    <w:autoRedefine/>
    <w:semiHidden/>
    <w:unhideWhenUsed/>
    <w:rsid w:val="008F0317"/>
    <w:pPr>
      <w:spacing w:after="100"/>
      <w:ind w:left="1020"/>
    </w:pPr>
  </w:style>
  <w:style w:type="paragraph" w:styleId="TOC8">
    <w:name w:val="toc 8"/>
    <w:basedOn w:val="a"/>
    <w:next w:val="a"/>
    <w:autoRedefine/>
    <w:semiHidden/>
    <w:unhideWhenUsed/>
    <w:rsid w:val="008F0317"/>
    <w:pPr>
      <w:spacing w:after="100"/>
      <w:ind w:left="1190"/>
    </w:pPr>
  </w:style>
  <w:style w:type="paragraph" w:styleId="TOC9">
    <w:name w:val="toc 9"/>
    <w:basedOn w:val="a"/>
    <w:next w:val="a"/>
    <w:autoRedefine/>
    <w:semiHidden/>
    <w:unhideWhenUsed/>
    <w:rsid w:val="008F0317"/>
    <w:pPr>
      <w:spacing w:after="100"/>
      <w:ind w:left="1360"/>
    </w:pPr>
  </w:style>
  <w:style w:type="paragraph" w:customStyle="1" w:styleId="TableHead2">
    <w:name w:val="Table Head2"/>
    <w:basedOn w:val="TableHead"/>
    <w:qFormat/>
    <w:rsid w:val="008F0317"/>
    <w:pPr>
      <w:outlineLvl w:val="9"/>
    </w:pPr>
  </w:style>
  <w:style w:type="paragraph" w:customStyle="1" w:styleId="TableSideHeading2">
    <w:name w:val="Table SideHeading2"/>
    <w:basedOn w:val="TableSideHeading"/>
    <w:autoRedefine/>
    <w:qFormat/>
    <w:rsid w:val="008F0317"/>
    <w:pPr>
      <w:keepLines w:val="0"/>
      <w:outlineLvl w:val="9"/>
    </w:pPr>
  </w:style>
  <w:style w:type="paragraph" w:customStyle="1" w:styleId="0">
    <w:name w:val="סגנון שורה ראשונה:  0  ס''מ"/>
    <w:basedOn w:val="2"/>
    <w:rsid w:val="008F0317"/>
    <w:rPr>
      <w:rFonts w:eastAsia="Times New Roman"/>
    </w:rPr>
  </w:style>
  <w:style w:type="paragraph" w:styleId="af">
    <w:name w:val="List Paragraph"/>
    <w:basedOn w:val="a"/>
    <w:uiPriority w:val="34"/>
    <w:qFormat/>
    <w:rsid w:val="008F0317"/>
    <w:pPr>
      <w:widowControl/>
      <w:spacing w:line="259" w:lineRule="auto"/>
    </w:pPr>
    <w:rPr>
      <w:rFonts w:asciiTheme="minorHAnsi" w:hAnsiTheme="minorHAnsi"/>
      <w:sz w:val="22"/>
    </w:rPr>
  </w:style>
  <w:style w:type="table" w:styleId="af0">
    <w:name w:val="Table Grid"/>
    <w:basedOn w:val="a1"/>
    <w:rsid w:val="008F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8F03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F03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8F0317"/>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8F0317"/>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4270">
      <w:bodyDiv w:val="1"/>
      <w:marLeft w:val="0"/>
      <w:marRight w:val="0"/>
      <w:marTop w:val="0"/>
      <w:marBottom w:val="0"/>
      <w:divBdr>
        <w:top w:val="none" w:sz="0" w:space="0" w:color="auto"/>
        <w:left w:val="none" w:sz="0" w:space="0" w:color="auto"/>
        <w:bottom w:val="none" w:sz="0" w:space="0" w:color="auto"/>
        <w:right w:val="none" w:sz="0" w:space="0" w:color="auto"/>
      </w:divBdr>
    </w:div>
    <w:div w:id="526647716">
      <w:bodyDiv w:val="1"/>
      <w:marLeft w:val="0"/>
      <w:marRight w:val="0"/>
      <w:marTop w:val="0"/>
      <w:marBottom w:val="0"/>
      <w:divBdr>
        <w:top w:val="none" w:sz="0" w:space="0" w:color="auto"/>
        <w:left w:val="none" w:sz="0" w:space="0" w:color="auto"/>
        <w:bottom w:val="none" w:sz="0" w:space="0" w:color="auto"/>
        <w:right w:val="none" w:sz="0" w:space="0" w:color="auto"/>
      </w:divBdr>
    </w:div>
    <w:div w:id="1146510328">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03595-1F29-4F00-8446-719CFA858C98}"/>
</file>

<file path=customXml/itemProps2.xml><?xml version="1.0" encoding="utf-8"?>
<ds:datastoreItem xmlns:ds="http://schemas.openxmlformats.org/officeDocument/2006/customXml" ds:itemID="{88F4AFE3-9455-419C-8851-785A55F44517}"/>
</file>

<file path=customXml/itemProps3.xml><?xml version="1.0" encoding="utf-8"?>
<ds:datastoreItem xmlns:ds="http://schemas.openxmlformats.org/officeDocument/2006/customXml" ds:itemID="{53CDC32B-DD97-493E-9196-3EF77D6F9C7D}"/>
</file>

<file path=customXml/itemProps4.xml><?xml version="1.0" encoding="utf-8"?>
<ds:datastoreItem xmlns:ds="http://schemas.openxmlformats.org/officeDocument/2006/customXml" ds:itemID="{D7B7A341-2B57-4238-8A94-555B12B7FC18}"/>
</file>

<file path=docProps/app.xml><?xml version="1.0" encoding="utf-8"?>
<Properties xmlns="http://schemas.openxmlformats.org/officeDocument/2006/extended-properties" xmlns:vt="http://schemas.openxmlformats.org/officeDocument/2006/docPropsVTypes">
  <Template>Normal</Template>
  <TotalTime>38</TotalTime>
  <Pages>2</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14</cp:revision>
  <cp:lastPrinted>2021-05-04T06:41:00Z</cp:lastPrinted>
  <dcterms:created xsi:type="dcterms:W3CDTF">2015-04-20T09:58:00Z</dcterms:created>
  <dcterms:modified xsi:type="dcterms:W3CDTF">2021-05-04T09:08:00Z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2156996</vt:r8>
  </property>
</Properties>
</file>