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F8" w:rsidRPr="00377102" w:rsidRDefault="00916FF8">
      <w:pPr>
        <w:jc w:val="right"/>
        <w:rPr>
          <w:rFonts w:cs="Miriam" w:hint="cs"/>
          <w:b/>
          <w:bCs/>
          <w:sz w:val="16"/>
          <w:szCs w:val="16"/>
          <w:u w:val="single"/>
        </w:rPr>
      </w:pPr>
      <w:bookmarkStart w:id="0" w:name="_GoBack"/>
      <w:bookmarkEnd w:id="0"/>
    </w:p>
    <w:p w:rsidR="00916FF8" w:rsidRPr="00377102" w:rsidRDefault="00916FF8">
      <w:pPr>
        <w:jc w:val="right"/>
        <w:rPr>
          <w:rFonts w:cs="Miriam"/>
          <w:b/>
          <w:bCs/>
          <w:sz w:val="16"/>
          <w:szCs w:val="16"/>
          <w:u w:val="single"/>
        </w:rPr>
      </w:pPr>
    </w:p>
    <w:tbl>
      <w:tblPr>
        <w:bidiVisual/>
        <w:tblW w:w="0" w:type="auto"/>
        <w:tblLook w:val="0000" w:firstRow="0" w:lastRow="0" w:firstColumn="0" w:lastColumn="0" w:noHBand="0" w:noVBand="0"/>
      </w:tblPr>
      <w:tblGrid>
        <w:gridCol w:w="7857"/>
      </w:tblGrid>
      <w:tr w:rsidR="00036227">
        <w:tblPrEx>
          <w:tblCellMar>
            <w:top w:w="0" w:type="dxa"/>
            <w:bottom w:w="0" w:type="dxa"/>
          </w:tblCellMar>
        </w:tblPrEx>
        <w:tc>
          <w:tcPr>
            <w:tcW w:w="7857" w:type="dxa"/>
          </w:tcPr>
          <w:p w:rsidR="00916FF8" w:rsidRPr="00624A42" w:rsidRDefault="00160770" w:rsidP="004C7868">
            <w:pPr>
              <w:pStyle w:val="FileNumber0"/>
              <w:rPr>
                <w:rFonts w:hint="cs"/>
                <w:sz w:val="28"/>
                <w:u w:val="single"/>
                <w:rtl/>
              </w:rPr>
            </w:pPr>
            <w:r>
              <w:rPr>
                <w:u w:val="single"/>
                <w:rtl/>
              </w:rPr>
              <w:t>בבית המשפט העליון</w:t>
            </w:r>
          </w:p>
        </w:tc>
      </w:tr>
    </w:tbl>
    <w:p w:rsidR="00916FF8" w:rsidRDefault="00916FF8">
      <w:pPr>
        <w:jc w:val="right"/>
        <w:rPr>
          <w:rFonts w:cs="Miriam"/>
          <w:b/>
          <w:bCs/>
          <w:u w:val="single"/>
        </w:rPr>
      </w:pPr>
    </w:p>
    <w:tbl>
      <w:tblPr>
        <w:bidiVisual/>
        <w:tblW w:w="0" w:type="auto"/>
        <w:tblInd w:w="27" w:type="dxa"/>
        <w:tblLook w:val="0000" w:firstRow="0" w:lastRow="0" w:firstColumn="0" w:lastColumn="0" w:noHBand="0" w:noVBand="0"/>
      </w:tblPr>
      <w:tblGrid>
        <w:gridCol w:w="8501"/>
      </w:tblGrid>
      <w:tr w:rsidR="00036227">
        <w:tblPrEx>
          <w:tblCellMar>
            <w:top w:w="0" w:type="dxa"/>
            <w:bottom w:w="0" w:type="dxa"/>
          </w:tblCellMar>
        </w:tblPrEx>
        <w:trPr>
          <w:trHeight w:val="342"/>
        </w:trPr>
        <w:tc>
          <w:tcPr>
            <w:tcW w:w="9828" w:type="dxa"/>
          </w:tcPr>
          <w:p w:rsidR="00916FF8" w:rsidRPr="00810894" w:rsidRDefault="00160770">
            <w:pPr>
              <w:pStyle w:val="FileNumber"/>
              <w:rPr>
                <w:rFonts w:hint="cs"/>
                <w:sz w:val="28"/>
                <w:szCs w:val="28"/>
              </w:rPr>
            </w:pPr>
            <w:bookmarkStart w:id="1" w:name="casename_body"/>
            <w:r>
              <w:rPr>
                <w:sz w:val="28"/>
                <w:szCs w:val="28"/>
                <w:rtl/>
              </w:rPr>
              <w:t>דנ"מ  8020/15</w:t>
            </w:r>
          </w:p>
        </w:tc>
      </w:tr>
      <w:bookmarkEnd w:id="1"/>
    </w:tbl>
    <w:p w:rsidR="00916FF8" w:rsidRDefault="00916FF8">
      <w:pPr>
        <w:jc w:val="right"/>
        <w:rPr>
          <w:rFonts w:cs="Miriam"/>
          <w:b/>
          <w:bCs/>
          <w:u w:val="single"/>
        </w:rPr>
      </w:pPr>
    </w:p>
    <w:tbl>
      <w:tblPr>
        <w:bidiVisual/>
        <w:tblW w:w="0" w:type="auto"/>
        <w:tblLayout w:type="fixed"/>
        <w:tblLook w:val="0000" w:firstRow="0" w:lastRow="0" w:firstColumn="0" w:lastColumn="0" w:noHBand="0" w:noVBand="0"/>
      </w:tblPr>
      <w:tblGrid>
        <w:gridCol w:w="3284"/>
        <w:gridCol w:w="5238"/>
      </w:tblGrid>
      <w:tr w:rsidR="00036227">
        <w:tblPrEx>
          <w:tblCellMar>
            <w:top w:w="0" w:type="dxa"/>
            <w:bottom w:w="0" w:type="dxa"/>
          </w:tblCellMar>
        </w:tblPrEx>
        <w:trPr>
          <w:trHeight w:val="287"/>
        </w:trPr>
        <w:tc>
          <w:tcPr>
            <w:tcW w:w="3284" w:type="dxa"/>
          </w:tcPr>
          <w:p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8" w:type="dxa"/>
          </w:tcPr>
          <w:p w:rsidR="00036227" w:rsidRDefault="00160770">
            <w:pPr>
              <w:pStyle w:val="BodyRuller"/>
              <w:rPr>
                <w:rFonts w:hint="cs"/>
              </w:rPr>
            </w:pPr>
            <w:r>
              <w:rPr>
                <w:rtl/>
              </w:rPr>
              <w:t>כבוד המשנה לנשיאה א' רובינשטיין</w:t>
            </w:r>
          </w:p>
        </w:tc>
      </w:tr>
    </w:tbl>
    <w:p w:rsidR="00916FF8" w:rsidRDefault="00916FF8">
      <w:pPr>
        <w:pStyle w:val="Ruller3"/>
        <w:rPr>
          <w:rFonts w:cs="Miriam"/>
          <w:b/>
          <w:bCs/>
          <w:u w:val="single"/>
          <w:rtl/>
        </w:rPr>
      </w:pPr>
    </w:p>
    <w:tbl>
      <w:tblPr>
        <w:bidiVisual/>
        <w:tblW w:w="0" w:type="auto"/>
        <w:tblLook w:val="0000" w:firstRow="0" w:lastRow="0" w:firstColumn="0" w:lastColumn="0" w:noHBand="0" w:noVBand="0"/>
      </w:tblPr>
      <w:tblGrid>
        <w:gridCol w:w="3284"/>
        <w:gridCol w:w="5238"/>
      </w:tblGrid>
      <w:tr w:rsidR="00036227">
        <w:tblPrEx>
          <w:tblCellMar>
            <w:top w:w="0" w:type="dxa"/>
            <w:bottom w:w="0" w:type="dxa"/>
          </w:tblCellMar>
        </w:tblPrEx>
        <w:tc>
          <w:tcPr>
            <w:tcW w:w="3284" w:type="dxa"/>
          </w:tcPr>
          <w:p w:rsidR="00036227" w:rsidRDefault="005D5AB7">
            <w:pPr>
              <w:pStyle w:val="BodyRuller"/>
            </w:pPr>
            <w:r>
              <w:rPr>
                <w:rFonts w:hint="cs"/>
                <w:rtl/>
              </w:rPr>
              <w:t>העותרת</w:t>
            </w:r>
            <w:r w:rsidR="00160770">
              <w:rPr>
                <w:rtl/>
              </w:rPr>
              <w:t>:</w:t>
            </w:r>
          </w:p>
        </w:tc>
        <w:tc>
          <w:tcPr>
            <w:tcW w:w="5238" w:type="dxa"/>
          </w:tcPr>
          <w:p w:rsidR="00036227" w:rsidRDefault="00160770">
            <w:pPr>
              <w:pStyle w:val="BodyRuller"/>
            </w:pPr>
            <w:r>
              <w:rPr>
                <w:rtl/>
              </w:rPr>
              <w:t>האגודה לזכויות האזרח בישראל</w:t>
            </w:r>
          </w:p>
        </w:tc>
      </w:tr>
    </w:tbl>
    <w:p w:rsidR="00916FF8" w:rsidRDefault="00916FF8">
      <w:pPr>
        <w:pStyle w:val="Ruller3"/>
      </w:pPr>
      <w:r>
        <w:tab/>
      </w:r>
    </w:p>
    <w:tbl>
      <w:tblPr>
        <w:bidiVisual/>
        <w:tblW w:w="0" w:type="auto"/>
        <w:tblLook w:val="0000" w:firstRow="0" w:lastRow="0" w:firstColumn="0" w:lastColumn="0" w:noHBand="0" w:noVBand="0"/>
      </w:tblPr>
      <w:tblGrid>
        <w:gridCol w:w="3284"/>
        <w:gridCol w:w="5238"/>
      </w:tblGrid>
      <w:tr w:rsidR="00036227">
        <w:tblPrEx>
          <w:tblCellMar>
            <w:top w:w="0" w:type="dxa"/>
            <w:bottom w:w="0" w:type="dxa"/>
          </w:tblCellMar>
        </w:tblPrEx>
        <w:tc>
          <w:tcPr>
            <w:tcW w:w="3284" w:type="dxa"/>
          </w:tcPr>
          <w:p w:rsidR="00036227" w:rsidRDefault="00036227">
            <w:pPr>
              <w:pStyle w:val="BodyRuller"/>
            </w:pPr>
          </w:p>
        </w:tc>
        <w:tc>
          <w:tcPr>
            <w:tcW w:w="5238" w:type="dxa"/>
          </w:tcPr>
          <w:p w:rsidR="00036227" w:rsidRDefault="00036227">
            <w:pPr>
              <w:pStyle w:val="BodyRuller"/>
            </w:pPr>
            <w:r>
              <w:rPr>
                <w:rFonts w:hint="cs"/>
                <w:rtl/>
              </w:rPr>
              <w:t>נ</w:t>
            </w:r>
            <w:r>
              <w:t xml:space="preserve">  </w:t>
            </w:r>
            <w:r>
              <w:rPr>
                <w:rFonts w:hint="cs"/>
                <w:rtl/>
              </w:rPr>
              <w:t>ג</w:t>
            </w:r>
            <w:r>
              <w:t xml:space="preserve">  </w:t>
            </w:r>
            <w:r>
              <w:rPr>
                <w:rFonts w:hint="cs"/>
                <w:rtl/>
              </w:rPr>
              <w:t>ד</w:t>
            </w:r>
          </w:p>
        </w:tc>
      </w:tr>
    </w:tbl>
    <w:p w:rsidR="00916FF8" w:rsidRDefault="00916FF8">
      <w:pPr>
        <w:pStyle w:val="Ruller3"/>
        <w:rPr>
          <w:rtl/>
        </w:rPr>
      </w:pPr>
      <w:r>
        <w:tab/>
      </w:r>
      <w:r>
        <w:tab/>
      </w:r>
      <w:r>
        <w:tab/>
        <w:t xml:space="preserve">     </w:t>
      </w:r>
    </w:p>
    <w:tbl>
      <w:tblPr>
        <w:bidiVisual/>
        <w:tblW w:w="0" w:type="auto"/>
        <w:tblLook w:val="0000" w:firstRow="0" w:lastRow="0" w:firstColumn="0" w:lastColumn="0" w:noHBand="0" w:noVBand="0"/>
      </w:tblPr>
      <w:tblGrid>
        <w:gridCol w:w="3284"/>
        <w:gridCol w:w="5238"/>
      </w:tblGrid>
      <w:tr w:rsidR="00036227">
        <w:tblPrEx>
          <w:tblCellMar>
            <w:top w:w="0" w:type="dxa"/>
            <w:bottom w:w="0" w:type="dxa"/>
          </w:tblCellMar>
        </w:tblPrEx>
        <w:tc>
          <w:tcPr>
            <w:tcW w:w="3284" w:type="dxa"/>
          </w:tcPr>
          <w:p w:rsidR="00036227" w:rsidRDefault="00160770">
            <w:pPr>
              <w:pStyle w:val="BodyRuller"/>
            </w:pPr>
            <w:r>
              <w:rPr>
                <w:rtl/>
              </w:rPr>
              <w:t>המשיב:</w:t>
            </w:r>
          </w:p>
        </w:tc>
        <w:tc>
          <w:tcPr>
            <w:tcW w:w="5238" w:type="dxa"/>
          </w:tcPr>
          <w:p w:rsidR="00036227" w:rsidRDefault="00160770">
            <w:pPr>
              <w:pStyle w:val="BodyRuller"/>
            </w:pPr>
            <w:r>
              <w:rPr>
                <w:rtl/>
              </w:rPr>
              <w:t>משרד ראש הממשלה</w:t>
            </w:r>
          </w:p>
        </w:tc>
      </w:tr>
    </w:tbl>
    <w:p w:rsidR="00916FF8" w:rsidRDefault="00E36FE9">
      <w:pPr>
        <w:pStyle w:val="Ruller3"/>
        <w:rPr>
          <w:rFonts w:hint="cs"/>
        </w:rPr>
      </w:pPr>
      <w:r>
        <w:rPr>
          <w:rFonts w:hint="cs"/>
          <w:rtl/>
        </w:rPr>
        <w:tab/>
      </w:r>
    </w:p>
    <w:tbl>
      <w:tblPr>
        <w:bidiVisual/>
        <w:tblW w:w="0" w:type="auto"/>
        <w:tblInd w:w="3284" w:type="dxa"/>
        <w:tblLook w:val="0000" w:firstRow="0" w:lastRow="0" w:firstColumn="0" w:lastColumn="0" w:noHBand="0" w:noVBand="0"/>
      </w:tblPr>
      <w:tblGrid>
        <w:gridCol w:w="5238"/>
      </w:tblGrid>
      <w:tr w:rsidR="00036227">
        <w:tblPrEx>
          <w:tblCellMar>
            <w:top w:w="0" w:type="dxa"/>
            <w:bottom w:w="0" w:type="dxa"/>
          </w:tblCellMar>
        </w:tblPrEx>
        <w:tc>
          <w:tcPr>
            <w:tcW w:w="5238" w:type="dxa"/>
          </w:tcPr>
          <w:p w:rsidR="00916FF8" w:rsidRPr="00265F6E" w:rsidRDefault="00916FF8">
            <w:pPr>
              <w:pStyle w:val="BodyRuller"/>
              <w:rPr>
                <w:sz w:val="24"/>
                <w:szCs w:val="24"/>
              </w:rPr>
            </w:pPr>
          </w:p>
        </w:tc>
      </w:tr>
    </w:tbl>
    <w:p w:rsidR="005D5AB7" w:rsidRDefault="00E36FE9">
      <w:pPr>
        <w:pStyle w:val="Ruller3"/>
        <w:rPr>
          <w:rtl/>
        </w:rPr>
      </w:pPr>
      <w:r>
        <w:rPr>
          <w:rFonts w:hint="cs"/>
          <w:rtl/>
        </w:rPr>
        <w:tab/>
      </w:r>
    </w:p>
    <w:tbl>
      <w:tblPr>
        <w:bidiVisual/>
        <w:tblW w:w="0" w:type="auto"/>
        <w:tblInd w:w="3284" w:type="dxa"/>
        <w:tblLook w:val="04A0" w:firstRow="1" w:lastRow="0" w:firstColumn="1" w:lastColumn="0" w:noHBand="0" w:noVBand="1"/>
      </w:tblPr>
      <w:tblGrid>
        <w:gridCol w:w="5136"/>
      </w:tblGrid>
      <w:tr w:rsidR="005D5AB7" w:rsidTr="00C557F6">
        <w:trPr>
          <w:trHeight w:val="637"/>
        </w:trPr>
        <w:tc>
          <w:tcPr>
            <w:tcW w:w="5136" w:type="dxa"/>
            <w:hideMark/>
          </w:tcPr>
          <w:p w:rsidR="005D5AB7" w:rsidRDefault="005D5AB7" w:rsidP="00C557F6">
            <w:pPr>
              <w:pStyle w:val="BodyRuller"/>
              <w:jc w:val="both"/>
              <w:rPr>
                <w:sz w:val="24"/>
                <w:szCs w:val="24"/>
              </w:rPr>
            </w:pPr>
            <w:r w:rsidRPr="005D5AB7">
              <w:rPr>
                <w:rFonts w:hint="cs"/>
                <w:sz w:val="18"/>
                <w:szCs w:val="24"/>
                <w:rtl/>
              </w:rPr>
              <w:t xml:space="preserve">עתירה לדיון נוסף בפסק דינו של בית משפט זה </w:t>
            </w:r>
            <w:r w:rsidR="00C557F6">
              <w:rPr>
                <w:rFonts w:hint="cs"/>
                <w:sz w:val="18"/>
                <w:szCs w:val="24"/>
                <w:rtl/>
              </w:rPr>
              <w:t>בעע"מ</w:t>
            </w:r>
            <w:r w:rsidRPr="005D5AB7">
              <w:rPr>
                <w:rFonts w:hint="cs"/>
                <w:sz w:val="18"/>
                <w:szCs w:val="24"/>
                <w:rtl/>
              </w:rPr>
              <w:t xml:space="preserve"> </w:t>
            </w:r>
            <w:r w:rsidR="00C557F6">
              <w:rPr>
                <w:rFonts w:hint="cs"/>
                <w:sz w:val="18"/>
                <w:szCs w:val="24"/>
                <w:rtl/>
              </w:rPr>
              <w:t>4349/14</w:t>
            </w:r>
            <w:r w:rsidRPr="005D5AB7">
              <w:rPr>
                <w:rFonts w:hint="cs"/>
                <w:sz w:val="18"/>
                <w:szCs w:val="24"/>
                <w:rtl/>
              </w:rPr>
              <w:t xml:space="preserve"> (מפי השופטת </w:t>
            </w:r>
            <w:r w:rsidRPr="005D5AB7">
              <w:rPr>
                <w:rFonts w:ascii="Century" w:hAnsi="Century" w:cs="Miriam" w:hint="cs"/>
                <w:b/>
                <w:sz w:val="18"/>
                <w:szCs w:val="20"/>
                <w:rtl/>
              </w:rPr>
              <w:t>ע' ברון</w:t>
            </w:r>
            <w:r w:rsidRPr="005D5AB7">
              <w:rPr>
                <w:rFonts w:hint="cs"/>
                <w:sz w:val="18"/>
                <w:szCs w:val="24"/>
                <w:rtl/>
              </w:rPr>
              <w:t xml:space="preserve"> ובהסכמת הנשיאה </w:t>
            </w:r>
            <w:r w:rsidRPr="005D5AB7">
              <w:rPr>
                <w:rFonts w:ascii="Century" w:hAnsi="Century" w:cs="Miriam" w:hint="cs"/>
                <w:b/>
                <w:sz w:val="18"/>
                <w:szCs w:val="20"/>
                <w:rtl/>
              </w:rPr>
              <w:t>מ' נאור</w:t>
            </w:r>
            <w:r w:rsidRPr="005D5AB7">
              <w:rPr>
                <w:rFonts w:hint="cs"/>
                <w:sz w:val="18"/>
                <w:szCs w:val="24"/>
                <w:rtl/>
              </w:rPr>
              <w:t xml:space="preserve"> והשופטת </w:t>
            </w:r>
            <w:r w:rsidRPr="005D5AB7">
              <w:rPr>
                <w:rFonts w:ascii="Century" w:hAnsi="Century" w:cs="Miriam" w:hint="cs"/>
                <w:b/>
                <w:sz w:val="18"/>
                <w:szCs w:val="20"/>
                <w:rtl/>
              </w:rPr>
              <w:t>א' חיות</w:t>
            </w:r>
            <w:r w:rsidRPr="005D5AB7">
              <w:rPr>
                <w:rFonts w:hint="cs"/>
                <w:sz w:val="18"/>
                <w:szCs w:val="24"/>
                <w:rtl/>
              </w:rPr>
              <w:t>) מיום 3.11.15</w:t>
            </w:r>
          </w:p>
        </w:tc>
      </w:tr>
    </w:tbl>
    <w:p w:rsidR="00916FF8" w:rsidRPr="005D5AB7" w:rsidRDefault="00916FF8">
      <w:pPr>
        <w:pStyle w:val="Ruller3"/>
        <w:rPr>
          <w:rFonts w:hint="cs"/>
          <w:rtl/>
        </w:rPr>
      </w:pPr>
    </w:p>
    <w:p w:rsidR="005D5AB7" w:rsidRPr="00B47BE3" w:rsidRDefault="005D5AB7" w:rsidP="005D5AB7">
      <w:pPr>
        <w:pStyle w:val="Ruller3"/>
        <w:rPr>
          <w:rFonts w:hint="cs"/>
          <w:sz w:val="26"/>
          <w:szCs w:val="26"/>
          <w:rtl/>
        </w:rPr>
      </w:pPr>
      <w:r w:rsidRPr="00B47BE3">
        <w:rPr>
          <w:sz w:val="26"/>
          <w:szCs w:val="26"/>
          <w:rtl/>
        </w:rPr>
        <w:t xml:space="preserve">בשם </w:t>
      </w:r>
      <w:r>
        <w:rPr>
          <w:rFonts w:hint="cs"/>
          <w:sz w:val="26"/>
          <w:szCs w:val="26"/>
          <w:rtl/>
        </w:rPr>
        <w:t>העותרת</w:t>
      </w:r>
      <w:r w:rsidRPr="00B47BE3">
        <w:rPr>
          <w:sz w:val="26"/>
          <w:szCs w:val="26"/>
          <w:rtl/>
        </w:rPr>
        <w:t>:</w:t>
      </w:r>
      <w:r w:rsidRPr="008833C9">
        <w:rPr>
          <w:rFonts w:hint="cs"/>
          <w:sz w:val="26"/>
          <w:szCs w:val="26"/>
          <w:rtl/>
        </w:rPr>
        <w:t xml:space="preserve"> </w:t>
      </w:r>
      <w:r>
        <w:rPr>
          <w:rFonts w:hint="cs"/>
          <w:sz w:val="26"/>
          <w:szCs w:val="26"/>
          <w:rtl/>
        </w:rPr>
        <w:tab/>
        <w:t>עו"ד  אבנר פינצ'וק</w:t>
      </w:r>
    </w:p>
    <w:p w:rsidR="005D5AB7" w:rsidRDefault="005D5AB7" w:rsidP="005D5AB7">
      <w:pPr>
        <w:pStyle w:val="Ruller3"/>
        <w:rPr>
          <w:rFonts w:hint="cs"/>
          <w:sz w:val="26"/>
          <w:szCs w:val="26"/>
          <w:rtl/>
        </w:rPr>
      </w:pPr>
      <w:r w:rsidRPr="00B47BE3">
        <w:rPr>
          <w:rFonts w:hint="cs"/>
          <w:sz w:val="26"/>
          <w:szCs w:val="26"/>
          <w:rtl/>
        </w:rPr>
        <w:t xml:space="preserve">בשם המשיב: </w:t>
      </w:r>
      <w:r>
        <w:rPr>
          <w:rFonts w:hint="cs"/>
          <w:sz w:val="26"/>
          <w:szCs w:val="26"/>
          <w:rtl/>
        </w:rPr>
        <w:tab/>
      </w:r>
      <w:r w:rsidRPr="00B47BE3">
        <w:rPr>
          <w:rFonts w:hint="cs"/>
          <w:sz w:val="26"/>
          <w:szCs w:val="26"/>
          <w:rtl/>
        </w:rPr>
        <w:t>עו"ד</w:t>
      </w:r>
      <w:r w:rsidR="00BC65DB">
        <w:rPr>
          <w:rFonts w:hint="cs"/>
          <w:sz w:val="26"/>
          <w:szCs w:val="26"/>
          <w:rtl/>
        </w:rPr>
        <w:t xml:space="preserve"> אבינעם סגל-</w:t>
      </w:r>
      <w:r>
        <w:rPr>
          <w:rFonts w:hint="cs"/>
          <w:sz w:val="26"/>
          <w:szCs w:val="26"/>
          <w:rtl/>
        </w:rPr>
        <w:t>אלעד</w:t>
      </w:r>
    </w:p>
    <w:p w:rsidR="00916FF8" w:rsidRDefault="00916FF8">
      <w:pPr>
        <w:tabs>
          <w:tab w:val="left" w:pos="2552"/>
        </w:tabs>
      </w:pPr>
    </w:p>
    <w:tbl>
      <w:tblPr>
        <w:bidiVisual/>
        <w:tblW w:w="0" w:type="auto"/>
        <w:tblLook w:val="0000" w:firstRow="0" w:lastRow="0" w:firstColumn="0" w:lastColumn="0" w:noHBand="0" w:noVBand="0"/>
      </w:tblPr>
      <w:tblGrid>
        <w:gridCol w:w="8528"/>
      </w:tblGrid>
      <w:tr w:rsidR="00036227">
        <w:tblPrEx>
          <w:tblCellMar>
            <w:top w:w="0" w:type="dxa"/>
            <w:bottom w:w="0" w:type="dxa"/>
          </w:tblCellMar>
        </w:tblPrEx>
        <w:tc>
          <w:tcPr>
            <w:tcW w:w="9837" w:type="dxa"/>
          </w:tcPr>
          <w:p w:rsidR="00916FF8" w:rsidRDefault="00160770">
            <w:pPr>
              <w:pStyle w:val="DocumentHead"/>
              <w:rPr>
                <w:rFonts w:hint="cs"/>
              </w:rPr>
            </w:pPr>
            <w:bookmarkStart w:id="2" w:name="secretary"/>
            <w:bookmarkStart w:id="3" w:name="BeginProtocol"/>
            <w:bookmarkEnd w:id="2"/>
            <w:bookmarkEnd w:id="3"/>
            <w:r>
              <w:rPr>
                <w:rtl/>
              </w:rPr>
              <w:t>החלטה</w:t>
            </w:r>
          </w:p>
        </w:tc>
      </w:tr>
    </w:tbl>
    <w:p w:rsidR="0065522F" w:rsidRDefault="0065522F">
      <w:pPr>
        <w:pStyle w:val="BODYVERDICT"/>
        <w:rPr>
          <w:rFonts w:hint="cs"/>
        </w:rPr>
      </w:pPr>
    </w:p>
    <w:p w:rsidR="005D5AB7" w:rsidRDefault="005D5AB7" w:rsidP="00C557F6">
      <w:pPr>
        <w:pStyle w:val="Ruller4"/>
        <w:rPr>
          <w:rFonts w:hint="cs"/>
          <w:rtl/>
        </w:rPr>
      </w:pPr>
      <w:bookmarkStart w:id="4" w:name="Writer_Name"/>
      <w:bookmarkStart w:id="5" w:name="Start_Write"/>
      <w:bookmarkEnd w:id="4"/>
      <w:bookmarkEnd w:id="5"/>
      <w:r>
        <w:rPr>
          <w:rFonts w:hint="cs"/>
          <w:rtl/>
        </w:rPr>
        <w:t xml:space="preserve">עתירה לדיון נוסף בפסק דינו של בית משפט זה </w:t>
      </w:r>
      <w:r w:rsidR="00C557F6">
        <w:rPr>
          <w:rFonts w:hint="cs"/>
          <w:rtl/>
        </w:rPr>
        <w:t>בעע"מ 4349/14</w:t>
      </w:r>
      <w:r>
        <w:rPr>
          <w:rFonts w:hint="cs"/>
          <w:rtl/>
        </w:rPr>
        <w:t xml:space="preserve"> (מפי השופטת </w:t>
      </w:r>
      <w:r w:rsidRPr="007F0CEB">
        <w:rPr>
          <w:rFonts w:ascii="Century" w:hAnsi="Century" w:cs="Miriam" w:hint="cs"/>
          <w:b/>
          <w:spacing w:val="0"/>
          <w:szCs w:val="24"/>
          <w:rtl/>
        </w:rPr>
        <w:t>ע' ברון</w:t>
      </w:r>
      <w:r>
        <w:rPr>
          <w:rFonts w:hint="cs"/>
          <w:rtl/>
        </w:rPr>
        <w:t xml:space="preserve"> ובהסכמת הנשיאה </w:t>
      </w:r>
      <w:r w:rsidRPr="007F0CEB">
        <w:rPr>
          <w:rFonts w:ascii="Century" w:hAnsi="Century" w:cs="Miriam" w:hint="cs"/>
          <w:b/>
          <w:spacing w:val="0"/>
          <w:szCs w:val="24"/>
          <w:rtl/>
        </w:rPr>
        <w:t>מ' נאור</w:t>
      </w:r>
      <w:r>
        <w:rPr>
          <w:rFonts w:hint="cs"/>
          <w:rtl/>
        </w:rPr>
        <w:t xml:space="preserve"> והשופטת </w:t>
      </w:r>
      <w:r w:rsidRPr="007F0CEB">
        <w:rPr>
          <w:rFonts w:ascii="Century" w:hAnsi="Century" w:cs="Miriam" w:hint="cs"/>
          <w:b/>
          <w:spacing w:val="0"/>
          <w:szCs w:val="24"/>
          <w:rtl/>
        </w:rPr>
        <w:t>א' חיות</w:t>
      </w:r>
      <w:r>
        <w:rPr>
          <w:rFonts w:hint="cs"/>
          <w:rtl/>
        </w:rPr>
        <w:t xml:space="preserve">) מיום 3.11.15 (להלן </w:t>
      </w:r>
      <w:r w:rsidRPr="007F0CEB">
        <w:rPr>
          <w:rFonts w:ascii="Century" w:hAnsi="Century" w:cs="Miriam" w:hint="cs"/>
          <w:b/>
          <w:spacing w:val="0"/>
          <w:szCs w:val="24"/>
          <w:rtl/>
        </w:rPr>
        <w:t>פסק הדין</w:t>
      </w:r>
      <w:r>
        <w:rPr>
          <w:rFonts w:hint="cs"/>
          <w:rtl/>
        </w:rPr>
        <w:t xml:space="preserve">), במסגרתו נדחה ערעור העותרת על פסק דינו של בית המשפט המחוזי בירושלים (השופט </w:t>
      </w:r>
      <w:r w:rsidRPr="00482E27">
        <w:rPr>
          <w:rFonts w:ascii="Century" w:hAnsi="Century" w:cs="Miriam" w:hint="cs"/>
          <w:b/>
          <w:spacing w:val="0"/>
          <w:szCs w:val="24"/>
          <w:rtl/>
        </w:rPr>
        <w:t>מ' סובל</w:t>
      </w:r>
      <w:r>
        <w:rPr>
          <w:rFonts w:hint="cs"/>
          <w:rtl/>
        </w:rPr>
        <w:t xml:space="preserve">) מיום 14.5.14 בעת"מ 10591-09-13. </w:t>
      </w:r>
      <w:r w:rsidRPr="000C246D">
        <w:rPr>
          <w:rFonts w:hint="cs"/>
          <w:rtl/>
        </w:rPr>
        <w:t xml:space="preserve">ענייננו בפרשנות סעיף 14 לחוק חופש המידע, תשנ"ח-1998 (להלן </w:t>
      </w:r>
      <w:r w:rsidRPr="000C246D">
        <w:rPr>
          <w:rFonts w:ascii="Century" w:hAnsi="Century" w:cs="Miriam" w:hint="cs"/>
          <w:b/>
          <w:spacing w:val="0"/>
          <w:szCs w:val="24"/>
          <w:rtl/>
        </w:rPr>
        <w:t>החוק</w:t>
      </w:r>
      <w:r w:rsidRPr="000C246D">
        <w:rPr>
          <w:rFonts w:hint="cs"/>
          <w:rtl/>
        </w:rPr>
        <w:t>), המחריג מתחולת החוק מספר גופים</w:t>
      </w:r>
      <w:r>
        <w:rPr>
          <w:rFonts w:hint="cs"/>
          <w:rtl/>
        </w:rPr>
        <w:t xml:space="preserve"> </w:t>
      </w:r>
      <w:r>
        <w:rPr>
          <w:rtl/>
        </w:rPr>
        <w:t>–</w:t>
      </w:r>
      <w:r w:rsidRPr="000C246D">
        <w:rPr>
          <w:rFonts w:hint="cs"/>
          <w:rtl/>
        </w:rPr>
        <w:t xml:space="preserve"> לרבות שירות הביטחון הכללי (להלן </w:t>
      </w:r>
      <w:r w:rsidRPr="00A2148C">
        <w:rPr>
          <w:rFonts w:ascii="Century" w:hAnsi="Century" w:cs="Miriam" w:hint="cs"/>
          <w:b/>
          <w:spacing w:val="0"/>
          <w:szCs w:val="24"/>
          <w:rtl/>
        </w:rPr>
        <w:t>השב"כ</w:t>
      </w:r>
      <w:r w:rsidRPr="000C246D">
        <w:rPr>
          <w:rFonts w:hint="cs"/>
          <w:rtl/>
        </w:rPr>
        <w:t>)</w:t>
      </w:r>
      <w:r>
        <w:rPr>
          <w:rFonts w:hint="cs"/>
          <w:rtl/>
        </w:rPr>
        <w:t xml:space="preserve"> </w:t>
      </w:r>
      <w:r>
        <w:rPr>
          <w:rtl/>
        </w:rPr>
        <w:t>–</w:t>
      </w:r>
      <w:r>
        <w:rPr>
          <w:rFonts w:hint="cs"/>
          <w:rtl/>
        </w:rPr>
        <w:t xml:space="preserve"> כל אימת שהמידע המבוקש </w:t>
      </w:r>
      <w:r w:rsidRPr="00A2148C">
        <w:rPr>
          <w:rFonts w:hint="cs"/>
          <w:rtl/>
        </w:rPr>
        <w:t>"נוצר, נאסף או מוחזק"</w:t>
      </w:r>
      <w:r w:rsidRPr="00C76356">
        <w:rPr>
          <w:rFonts w:hint="cs"/>
          <w:rtl/>
        </w:rPr>
        <w:t xml:space="preserve"> בידי מי מהגופים הרשומים בסעיף</w:t>
      </w:r>
      <w:r w:rsidRPr="000C246D">
        <w:rPr>
          <w:rFonts w:hint="cs"/>
          <w:rtl/>
        </w:rPr>
        <w:t>.</w:t>
      </w:r>
    </w:p>
    <w:p w:rsidR="005D5AB7" w:rsidRDefault="005D5AB7" w:rsidP="005D5AB7">
      <w:pPr>
        <w:pStyle w:val="Ruller40"/>
        <w:rPr>
          <w:rFonts w:hint="cs"/>
          <w:rtl/>
        </w:rPr>
      </w:pPr>
    </w:p>
    <w:p w:rsidR="005D5AB7" w:rsidRDefault="005D5AB7" w:rsidP="005D5AB7">
      <w:pPr>
        <w:pStyle w:val="Ruller40"/>
        <w:rPr>
          <w:rFonts w:ascii="Century" w:hAnsi="Century" w:cs="Miriam" w:hint="cs"/>
          <w:b/>
          <w:spacing w:val="0"/>
          <w:szCs w:val="24"/>
          <w:rtl/>
        </w:rPr>
      </w:pPr>
      <w:r w:rsidRPr="00C47D61">
        <w:rPr>
          <w:rFonts w:ascii="Century" w:hAnsi="Century" w:cs="Miriam" w:hint="cs"/>
          <w:b/>
          <w:spacing w:val="0"/>
          <w:szCs w:val="24"/>
          <w:rtl/>
        </w:rPr>
        <w:t>רקע</w:t>
      </w:r>
    </w:p>
    <w:p w:rsidR="005D5AB7" w:rsidRDefault="005D5AB7" w:rsidP="005D5AB7">
      <w:pPr>
        <w:pStyle w:val="Ruller40"/>
        <w:rPr>
          <w:rFonts w:ascii="Century" w:hAnsi="Century" w:cs="Miriam" w:hint="cs"/>
          <w:b/>
          <w:spacing w:val="0"/>
          <w:szCs w:val="24"/>
          <w:rtl/>
        </w:rPr>
      </w:pPr>
    </w:p>
    <w:p w:rsidR="005D5AB7" w:rsidRDefault="005D5AB7" w:rsidP="005D5AB7">
      <w:pPr>
        <w:pStyle w:val="Ruller4"/>
        <w:rPr>
          <w:rFonts w:hint="cs"/>
          <w:rtl/>
        </w:rPr>
      </w:pPr>
      <w:r>
        <w:rPr>
          <w:rFonts w:hint="cs"/>
          <w:rtl/>
        </w:rPr>
        <w:t xml:space="preserve">ביום 3.5.12 פנתה העותרת לממונה על יישום חוק חופש המידע במשרד ראש הממשלה (להלן </w:t>
      </w:r>
      <w:r w:rsidRPr="006A7905">
        <w:rPr>
          <w:rFonts w:ascii="Century" w:hAnsi="Century" w:cs="Miriam" w:hint="cs"/>
          <w:b/>
          <w:spacing w:val="0"/>
          <w:szCs w:val="24"/>
          <w:rtl/>
        </w:rPr>
        <w:t>הממונה</w:t>
      </w:r>
      <w:r>
        <w:rPr>
          <w:rFonts w:hint="cs"/>
          <w:rtl/>
        </w:rPr>
        <w:t xml:space="preserve">) לשם קבלת מידע בדבר היקף ההיתרים שנתן ראש הממשלה לביצוע האזנות סתר בחמש השנים האחרונות, לפי סעיף 4 לחוק האזנת סתר, </w:t>
      </w:r>
      <w:r>
        <w:rPr>
          <w:rFonts w:hint="cs"/>
          <w:rtl/>
        </w:rPr>
        <w:lastRenderedPageBreak/>
        <w:t>התשל"ט-1979, שעניינו "האזנה למטרת בטחון המדינה"; יוער כי בקשה זו הוגשה לאחר שבקשה קודמת למשרד הביטחון העלתה, כי שר הביטחון לא עשה שימוש בחמש השנים האחרונות בסמכות המוקנית גם לו מכוח חוק האזנת סתר להוצאת היתרים מעין אלה. ביום 6.6.13 דחה הממונה את הבקשה, בנימוק שיש במידע המבוקש כדי לחשוף מידע שבגילויו יש חשש לפגיעה בביטחון המדינה, ובמידע שאין לגלותו לפי כל דין, ומכאן שלפי סעיף 9(א)(1) וסעיף 9(א)(4) לחוק בהתאמה אין לגלות את המידע.</w:t>
      </w:r>
    </w:p>
    <w:p w:rsidR="005D5AB7" w:rsidRDefault="005D5AB7" w:rsidP="005D5AB7">
      <w:pPr>
        <w:pStyle w:val="Ruller40"/>
        <w:rPr>
          <w:rFonts w:hint="cs"/>
          <w:rtl/>
        </w:rPr>
      </w:pPr>
    </w:p>
    <w:p w:rsidR="005D5AB7" w:rsidRDefault="005D5AB7" w:rsidP="005D5AB7">
      <w:pPr>
        <w:pStyle w:val="Ruller4"/>
        <w:rPr>
          <w:rFonts w:hint="cs"/>
          <w:rtl/>
        </w:rPr>
      </w:pPr>
      <w:r>
        <w:rPr>
          <w:rFonts w:hint="cs"/>
          <w:rtl/>
        </w:rPr>
        <w:t xml:space="preserve">העותרת עתרה כנגד החלטה זו לבית המשפט המחוזי בירושלים. בתגובת המדינה לעתירה שונתה הנמקת ההתנגדות לבקשה, ונטען,  בעיקר, כי המידע מוחזק על-ידי השב"כ, המוחרג מעיקרא מתחולת החוק (סעיף 14(א)(2) לחוק). נטען בהקשר זה, כי הליך מתן ההיתרים ראשיתו בבקשה שנערכת על-ידי השב"כ, ומועברת אל המזכירות הצבאית לראש הממשלה </w:t>
      </w:r>
      <w:r>
        <w:rPr>
          <w:rtl/>
        </w:rPr>
        <w:t>–</w:t>
      </w:r>
      <w:r>
        <w:rPr>
          <w:rFonts w:hint="cs"/>
          <w:rtl/>
        </w:rPr>
        <w:t xml:space="preserve"> המוחרגת גם היא מהוראות החוק (סעיף 14(א)(5) לחוק בשילוב סעיף 1(2) לצו חופש המידע (יחידות במשרד ראש הממשלה אשר החוק לא יחול עליהן), תשנ"ט-1999) </w:t>
      </w:r>
      <w:r>
        <w:rPr>
          <w:rtl/>
        </w:rPr>
        <w:t>–</w:t>
      </w:r>
      <w:r>
        <w:rPr>
          <w:rFonts w:hint="cs"/>
          <w:rtl/>
        </w:rPr>
        <w:t xml:space="preserve"> ואך לאחר מכן מובאת הבקשה לראש הממשלה לצורך החלטה; לבסוף חוזר כל החומר לשב"כ לשם שמירת המידע, ומכאן כי המידע מוחרג עוד מראשיתו, מעצם הכנתו על-ידי השב"כ והיותו פיסית בידי השב"כ, אף מבלי לבחנו לגופם של דברים. </w:t>
      </w:r>
    </w:p>
    <w:p w:rsidR="005D5AB7" w:rsidRDefault="005D5AB7" w:rsidP="005D5AB7">
      <w:pPr>
        <w:pStyle w:val="Ruller40"/>
        <w:rPr>
          <w:rFonts w:hint="cs"/>
          <w:rtl/>
        </w:rPr>
      </w:pPr>
    </w:p>
    <w:p w:rsidR="005D5AB7" w:rsidRDefault="005D5AB7" w:rsidP="00C557F6">
      <w:pPr>
        <w:pStyle w:val="Ruller4"/>
        <w:rPr>
          <w:rFonts w:hint="cs"/>
          <w:rtl/>
        </w:rPr>
      </w:pPr>
      <w:r>
        <w:rPr>
          <w:rFonts w:hint="cs"/>
          <w:rtl/>
        </w:rPr>
        <w:t>בי</w:t>
      </w:r>
      <w:r w:rsidR="00C557F6">
        <w:rPr>
          <w:rFonts w:hint="cs"/>
          <w:rtl/>
        </w:rPr>
        <w:t xml:space="preserve">ת המשפט המחוזי (השופט מ' סובל) דחה </w:t>
      </w:r>
      <w:r>
        <w:rPr>
          <w:rFonts w:hint="cs"/>
          <w:rtl/>
        </w:rPr>
        <w:t xml:space="preserve">את העתירה מטעמי עיקר תגובתה של המדינה; וכך גם בית משפט זה. בפסק הדין מושא העתירה שלפנינו נקבע, כי המידע המבוקש אינו מידע "זר" לתחומי עיסוקו של השב"כ, ולא ניתן לומר ששמירתו במשרדי השב"כ נעשתה אך לשם התחמקות מהוראות החוק. עם זאת נקבע, כי אין לגזור מענייננו גזירה שוה לכל מקרה העתיד לבוא, </w:t>
      </w:r>
      <w:r w:rsidR="00A2148C">
        <w:rPr>
          <w:rFonts w:hint="cs"/>
          <w:rtl/>
        </w:rPr>
        <w:t>כך</w:t>
      </w:r>
      <w:r>
        <w:rPr>
          <w:rFonts w:hint="cs"/>
          <w:rtl/>
        </w:rPr>
        <w:t xml:space="preserve"> </w:t>
      </w:r>
      <w:r w:rsidR="00A2148C">
        <w:rPr>
          <w:rFonts w:hint="cs"/>
          <w:rtl/>
        </w:rPr>
        <w:t>ש</w:t>
      </w:r>
      <w:r>
        <w:rPr>
          <w:rFonts w:hint="cs"/>
          <w:rtl/>
        </w:rPr>
        <w:t xml:space="preserve">מידע </w:t>
      </w:r>
      <w:r w:rsidR="00A2148C">
        <w:rPr>
          <w:rFonts w:hint="cs"/>
          <w:rtl/>
        </w:rPr>
        <w:t xml:space="preserve">אשר </w:t>
      </w:r>
      <w:r>
        <w:rPr>
          <w:rFonts w:hint="cs"/>
          <w:rtl/>
        </w:rPr>
        <w:t xml:space="preserve">נוצר בגוף מסוים </w:t>
      </w:r>
      <w:r w:rsidR="00A2148C">
        <w:rPr>
          <w:rFonts w:hint="cs"/>
          <w:rtl/>
        </w:rPr>
        <w:t>ש</w:t>
      </w:r>
      <w:r>
        <w:rPr>
          <w:rFonts w:hint="cs"/>
          <w:rtl/>
        </w:rPr>
        <w:t>עליו חלות הוראות החוק, והועבר לגוף אחר הפטור מהוראות החוק, יוחרג מ</w:t>
      </w:r>
      <w:r w:rsidR="00A2148C">
        <w:rPr>
          <w:rFonts w:hint="cs"/>
          <w:rtl/>
        </w:rPr>
        <w:t>ניה וביה מ</w:t>
      </w:r>
      <w:r>
        <w:rPr>
          <w:rFonts w:hint="cs"/>
          <w:rtl/>
        </w:rPr>
        <w:t xml:space="preserve">הוראות החוק אך כיון שהוא נמצא, מבחינה פיסית בעת הגשת בקשת חופש המידע, אצל הגוף הפטור. בהמשך לכך נקבע כי, למשל, במקרה בו יוכח כי מקום האחסון נקבע אך כדי לחמוק מקיום חובת הגילוי של המידע; ובמיוחד כאשר יימצא כי אין קשר ענייני בין המידע המבוקש לגוף בו הוא מאוחסן </w:t>
      </w:r>
      <w:r>
        <w:rPr>
          <w:rtl/>
        </w:rPr>
        <w:t>–</w:t>
      </w:r>
      <w:r>
        <w:rPr>
          <w:rFonts w:hint="cs"/>
          <w:rtl/>
        </w:rPr>
        <w:t xml:space="preserve">אין הכרח שיינתן הפטור הגורף הקבוע בסעיף 14 לחוק כאמור (פסקה 18 לפסק הדין); וכל מקרה ייבחן </w:t>
      </w:r>
      <w:r w:rsidR="00A2148C">
        <w:rPr>
          <w:rFonts w:hint="cs"/>
          <w:rtl/>
        </w:rPr>
        <w:t xml:space="preserve">איפוא </w:t>
      </w:r>
      <w:r>
        <w:rPr>
          <w:rFonts w:hint="cs"/>
          <w:rtl/>
        </w:rPr>
        <w:t xml:space="preserve">לפי נסיבותיו. </w:t>
      </w:r>
    </w:p>
    <w:p w:rsidR="005D5AB7" w:rsidRDefault="005D5AB7" w:rsidP="005D5AB7">
      <w:pPr>
        <w:pStyle w:val="Ruller40"/>
        <w:rPr>
          <w:rFonts w:hint="cs"/>
          <w:rtl/>
        </w:rPr>
      </w:pPr>
    </w:p>
    <w:p w:rsidR="005D5AB7" w:rsidRPr="00553699" w:rsidRDefault="005D5AB7" w:rsidP="00A2148C">
      <w:pPr>
        <w:pStyle w:val="Ruller40"/>
        <w:rPr>
          <w:rFonts w:hint="cs"/>
          <w:rtl/>
        </w:rPr>
      </w:pPr>
      <w:r>
        <w:rPr>
          <w:rFonts w:hint="cs"/>
          <w:rtl/>
        </w:rPr>
        <w:tab/>
        <w:t xml:space="preserve">מכאן העתירה </w:t>
      </w:r>
      <w:r w:rsidR="00A2148C">
        <w:rPr>
          <w:rFonts w:hint="cs"/>
          <w:rtl/>
        </w:rPr>
        <w:t>הנוכחית</w:t>
      </w:r>
      <w:r>
        <w:rPr>
          <w:rFonts w:hint="cs"/>
          <w:rtl/>
        </w:rPr>
        <w:t>.</w:t>
      </w:r>
    </w:p>
    <w:p w:rsidR="005D5AB7" w:rsidRDefault="005D5AB7" w:rsidP="005D5AB7">
      <w:pPr>
        <w:pStyle w:val="Ruller40"/>
        <w:rPr>
          <w:rFonts w:hint="cs"/>
          <w:rtl/>
        </w:rPr>
      </w:pPr>
    </w:p>
    <w:p w:rsidR="005D5AB7" w:rsidRPr="00EE2E49" w:rsidRDefault="005D5AB7" w:rsidP="005D5AB7">
      <w:pPr>
        <w:pStyle w:val="Ruller40"/>
        <w:rPr>
          <w:rFonts w:ascii="Century" w:hAnsi="Century" w:cs="Miriam" w:hint="cs"/>
          <w:b/>
          <w:spacing w:val="0"/>
          <w:szCs w:val="24"/>
          <w:rtl/>
        </w:rPr>
      </w:pPr>
      <w:r w:rsidRPr="00EE2E49">
        <w:rPr>
          <w:rFonts w:ascii="Century" w:hAnsi="Century" w:cs="Miriam" w:hint="cs"/>
          <w:b/>
          <w:spacing w:val="0"/>
          <w:szCs w:val="24"/>
          <w:rtl/>
        </w:rPr>
        <w:t>העתירה</w:t>
      </w:r>
    </w:p>
    <w:p w:rsidR="005D5AB7" w:rsidRDefault="005D5AB7" w:rsidP="005D5AB7">
      <w:pPr>
        <w:pStyle w:val="Ruller40"/>
        <w:rPr>
          <w:rFonts w:hint="cs"/>
          <w:rtl/>
        </w:rPr>
      </w:pPr>
    </w:p>
    <w:p w:rsidR="005D5AB7" w:rsidRDefault="005D5AB7" w:rsidP="00A2148C">
      <w:pPr>
        <w:pStyle w:val="Ruller4"/>
        <w:rPr>
          <w:rFonts w:hint="cs"/>
          <w:rtl/>
        </w:rPr>
      </w:pPr>
      <w:r>
        <w:rPr>
          <w:rFonts w:hint="cs"/>
          <w:rtl/>
        </w:rPr>
        <w:t xml:space="preserve">בעתירה מיום 23.11.15 נטען בעיקר, כי בפסק הדין נקבעה </w:t>
      </w:r>
      <w:r w:rsidR="00A2148C">
        <w:rPr>
          <w:rFonts w:hint="cs"/>
          <w:rtl/>
        </w:rPr>
        <w:t>ה</w:t>
      </w:r>
      <w:r>
        <w:rPr>
          <w:rFonts w:hint="cs"/>
          <w:rtl/>
        </w:rPr>
        <w:t>לכה חדשה, לפיה מ</w:t>
      </w:r>
      <w:r w:rsidR="00A2148C">
        <w:rPr>
          <w:rFonts w:hint="cs"/>
          <w:rtl/>
        </w:rPr>
        <w:t>שעה</w:t>
      </w:r>
      <w:r>
        <w:rPr>
          <w:rFonts w:hint="cs"/>
          <w:rtl/>
        </w:rPr>
        <w:t xml:space="preserve"> שרשות ציבורית הוציאה מידע מחזקתה, </w:t>
      </w:r>
      <w:r w:rsidR="00A2148C">
        <w:rPr>
          <w:rFonts w:hint="cs"/>
          <w:rtl/>
        </w:rPr>
        <w:t xml:space="preserve">אין </w:t>
      </w:r>
      <w:r>
        <w:rPr>
          <w:rFonts w:hint="cs"/>
          <w:rtl/>
        </w:rPr>
        <w:t>הוראות החוק חלות על מידע זה ולא ניתן לבקשו; והרשות אף אינה מחויבת להסביר מדוע הוצא המידע מחזקתה. בהמשך לכך נטען, כי מדובר בהלכה קשה</w:t>
      </w:r>
      <w:r w:rsidR="00A2148C">
        <w:rPr>
          <w:rFonts w:hint="cs"/>
          <w:rtl/>
        </w:rPr>
        <w:t>,</w:t>
      </w:r>
      <w:r>
        <w:rPr>
          <w:rFonts w:hint="cs"/>
          <w:rtl/>
        </w:rPr>
        <w:t xml:space="preserve"> שכן נוסחה באופן רחב, ולמעשה חלה כל אימת שהוצא חומר מחזקת רשות אשר הוראות החוק חלות עליה אל גוף אשר הוראות החוק אינן חלות עליו, לרבות גופים פרטיים אשר החוק אינו חל עליהם מעיקרא; וזאת, גם אם מדובר, מבחינה מהותית, במידע ציבורי. מכאן נטען כי יש להיעתר למבוקש ולערוך דיון נוסף בפסק הדין.</w:t>
      </w:r>
    </w:p>
    <w:p w:rsidR="005D5AB7" w:rsidRDefault="005D5AB7" w:rsidP="005D5AB7">
      <w:pPr>
        <w:pStyle w:val="Ruller40"/>
        <w:rPr>
          <w:rFonts w:hint="cs"/>
          <w:rtl/>
        </w:rPr>
      </w:pPr>
    </w:p>
    <w:p w:rsidR="005D5AB7" w:rsidRPr="007E6149" w:rsidRDefault="005D5AB7" w:rsidP="00A2148C">
      <w:pPr>
        <w:pStyle w:val="Ruller4"/>
        <w:rPr>
          <w:rFonts w:hint="cs"/>
          <w:rtl/>
        </w:rPr>
      </w:pPr>
      <w:r>
        <w:rPr>
          <w:rFonts w:hint="cs"/>
          <w:rtl/>
        </w:rPr>
        <w:t>בתגובת המדינה מיום 21.4.16 נטען</w:t>
      </w:r>
      <w:r w:rsidR="00A2148C">
        <w:rPr>
          <w:rFonts w:hint="cs"/>
          <w:rtl/>
        </w:rPr>
        <w:t>,</w:t>
      </w:r>
      <w:r>
        <w:rPr>
          <w:rFonts w:hint="cs"/>
          <w:rtl/>
        </w:rPr>
        <w:t xml:space="preserve"> כי אין להיענות לעתירה. נטען בעיקר, כי אין מדובר בהלכה חדשה ורחבה</w:t>
      </w:r>
      <w:r w:rsidR="00A2148C">
        <w:rPr>
          <w:rFonts w:hint="cs"/>
          <w:rtl/>
        </w:rPr>
        <w:t>,</w:t>
      </w:r>
      <w:r>
        <w:rPr>
          <w:rFonts w:hint="cs"/>
          <w:rtl/>
        </w:rPr>
        <w:t xml:space="preserve"> אלא </w:t>
      </w:r>
      <w:r w:rsidR="00A2148C">
        <w:rPr>
          <w:rFonts w:hint="cs"/>
          <w:rtl/>
        </w:rPr>
        <w:t>ב</w:t>
      </w:r>
      <w:r>
        <w:rPr>
          <w:rFonts w:hint="cs"/>
          <w:rtl/>
        </w:rPr>
        <w:t>קביעה התחומה לנסיבות הקונקרטיות בלבד, ולכן אין לגזור מכך למקרים אחרים בהם תתבקש הכרעה מכוח חוק חופש המידע. בהמשך לכך נ</w:t>
      </w:r>
      <w:r w:rsidR="00A2148C">
        <w:rPr>
          <w:rFonts w:hint="cs"/>
          <w:rtl/>
        </w:rPr>
        <w:t>אמר</w:t>
      </w:r>
      <w:r>
        <w:rPr>
          <w:rFonts w:hint="cs"/>
          <w:rtl/>
        </w:rPr>
        <w:t xml:space="preserve">, כי טענת העותרת לפיה יש בקביעה זו כדי להשליך באופן רוחבי על מקרים רבים נוספים אין לה על מה להישען, שכן בית המשפט קבע מפורשות כי הכרעתו נוגעת לנסיבות ענייננו הקונקרטי </w:t>
      </w:r>
      <w:r>
        <w:rPr>
          <w:rtl/>
        </w:rPr>
        <w:t>–</w:t>
      </w:r>
      <w:r>
        <w:rPr>
          <w:rFonts w:hint="cs"/>
          <w:rtl/>
        </w:rPr>
        <w:t xml:space="preserve"> היתרי האזנות סתר </w:t>
      </w:r>
      <w:r>
        <w:rPr>
          <w:rtl/>
        </w:rPr>
        <w:t>–</w:t>
      </w:r>
      <w:r>
        <w:rPr>
          <w:rFonts w:hint="cs"/>
          <w:rtl/>
        </w:rPr>
        <w:t xml:space="preserve"> ובניגו</w:t>
      </w:r>
      <w:r w:rsidR="00A2148C">
        <w:rPr>
          <w:rFonts w:hint="cs"/>
          <w:rtl/>
        </w:rPr>
        <w:t>ד לנטען, אין לגזור מכך גזירה שו</w:t>
      </w:r>
      <w:r>
        <w:rPr>
          <w:rFonts w:hint="cs"/>
          <w:rtl/>
        </w:rPr>
        <w:t xml:space="preserve">ה לכל מקרה עתידי בו יהא מדובר במידע שנוצר ברשות ציבורית אחת והועבר לרשות אחרת. </w:t>
      </w:r>
    </w:p>
    <w:p w:rsidR="005D5AB7" w:rsidRDefault="005D5AB7" w:rsidP="005D5AB7">
      <w:pPr>
        <w:pStyle w:val="Ruller40"/>
        <w:rPr>
          <w:rFonts w:ascii="Century" w:hAnsi="Century" w:cs="Miriam" w:hint="cs"/>
          <w:b/>
          <w:spacing w:val="0"/>
          <w:szCs w:val="24"/>
          <w:rtl/>
        </w:rPr>
      </w:pPr>
    </w:p>
    <w:p w:rsidR="005D5AB7" w:rsidRDefault="005D5AB7" w:rsidP="005D5AB7">
      <w:pPr>
        <w:pStyle w:val="Ruller40"/>
        <w:rPr>
          <w:rFonts w:ascii="Century" w:hAnsi="Century" w:cs="Miriam" w:hint="cs"/>
          <w:b/>
          <w:spacing w:val="0"/>
          <w:szCs w:val="24"/>
          <w:rtl/>
        </w:rPr>
      </w:pPr>
      <w:r w:rsidRPr="00EE2E49">
        <w:rPr>
          <w:rFonts w:ascii="Century" w:hAnsi="Century" w:cs="Miriam" w:hint="cs"/>
          <w:b/>
          <w:spacing w:val="0"/>
          <w:szCs w:val="24"/>
          <w:rtl/>
        </w:rPr>
        <w:t>דיון והכרעה</w:t>
      </w:r>
    </w:p>
    <w:p w:rsidR="005D5AB7" w:rsidRPr="00EE2E49" w:rsidRDefault="005D5AB7" w:rsidP="005D5AB7">
      <w:pPr>
        <w:pStyle w:val="Ruller40"/>
        <w:rPr>
          <w:rFonts w:ascii="Century" w:hAnsi="Century" w:cs="Miriam" w:hint="cs"/>
          <w:b/>
          <w:spacing w:val="0"/>
          <w:szCs w:val="24"/>
          <w:rtl/>
        </w:rPr>
      </w:pPr>
    </w:p>
    <w:p w:rsidR="005D5AB7" w:rsidRPr="00DE43F1" w:rsidRDefault="005D5AB7" w:rsidP="00BC65DB">
      <w:pPr>
        <w:pStyle w:val="Ruller4"/>
        <w:rPr>
          <w:rFonts w:ascii="Century" w:hAnsi="Century" w:hint="cs"/>
          <w:rtl/>
        </w:rPr>
      </w:pPr>
      <w:r>
        <w:rPr>
          <w:rFonts w:hint="cs"/>
          <w:rtl/>
        </w:rPr>
        <w:t>לאחר עיון בעתירה ובתגובת המדינה, לא מצאתי להיעתר למבוקש. בהוראת המחוקק, עתירה לדיון נוסף מתקבלת אך במקרים חריגים בי</w:t>
      </w:r>
      <w:r w:rsidR="00BC65DB">
        <w:rPr>
          <w:rFonts w:hint="cs"/>
          <w:rtl/>
        </w:rPr>
        <w:t>ותר</w:t>
      </w:r>
      <w:r>
        <w:rPr>
          <w:rFonts w:hint="cs"/>
          <w:rtl/>
        </w:rPr>
        <w:t xml:space="preserve">, בהם נוצרה הלכה </w:t>
      </w:r>
      <w:r w:rsidRPr="00A2148C">
        <w:rPr>
          <w:rFonts w:hint="cs"/>
          <w:rtl/>
        </w:rPr>
        <w:t xml:space="preserve">חדשה אשר "עומדת בסתירה להלכה קודמת של בית המשפט העליון, או שמפאת חשיבותה, קשיותה או חידושה של </w:t>
      </w:r>
      <w:r w:rsidRPr="00A2148C">
        <w:rPr>
          <w:rtl/>
        </w:rPr>
        <w:t>הל</w:t>
      </w:r>
      <w:r w:rsidRPr="00A2148C">
        <w:rPr>
          <w:rFonts w:hint="cs"/>
          <w:rtl/>
        </w:rPr>
        <w:t>כה שנפסקה בענין" יש להיעתר לה (סעיף 30(ב) לחוק בתי המשפט</w:t>
      </w:r>
      <w:r w:rsidR="00B66517">
        <w:rPr>
          <w:rFonts w:hint="cs"/>
          <w:rtl/>
        </w:rPr>
        <w:t xml:space="preserve"> [נוסח משולב]</w:t>
      </w:r>
      <w:r w:rsidR="00A2148C">
        <w:rPr>
          <w:rFonts w:hint="cs"/>
          <w:rtl/>
        </w:rPr>
        <w:t>, תשמ"ד-1984</w:t>
      </w:r>
      <w:r w:rsidRPr="00A2148C">
        <w:rPr>
          <w:rFonts w:hint="cs"/>
          <w:rtl/>
        </w:rPr>
        <w:t>). אין זה המקרה שלפנינו, שעה שקביעתו של</w:t>
      </w:r>
      <w:r>
        <w:rPr>
          <w:rFonts w:ascii="Century" w:hAnsi="Century" w:hint="cs"/>
          <w:rtl/>
        </w:rPr>
        <w:t xml:space="preserve"> בית המשפט נתחמה לנסיבות הקונקרטיות נשוא העניין, וכפי שצו</w:t>
      </w:r>
      <w:r w:rsidR="00BD261D">
        <w:rPr>
          <w:rFonts w:ascii="Century" w:hAnsi="Century" w:hint="cs"/>
          <w:rtl/>
        </w:rPr>
        <w:t>י</w:t>
      </w:r>
      <w:r>
        <w:rPr>
          <w:rFonts w:ascii="Century" w:hAnsi="Century" w:hint="cs"/>
          <w:rtl/>
        </w:rPr>
        <w:t xml:space="preserve">ן מעלה, הדברים עולים מפורשות מפסק הדין מושא העתירה. די בכך להגיע למסקנה כי אין מקום </w:t>
      </w:r>
      <w:r w:rsidR="00BD261D">
        <w:rPr>
          <w:rFonts w:ascii="Century" w:hAnsi="Century" w:hint="cs"/>
          <w:rtl/>
        </w:rPr>
        <w:t xml:space="preserve">וצורך </w:t>
      </w:r>
      <w:r>
        <w:rPr>
          <w:rFonts w:ascii="Century" w:hAnsi="Century" w:hint="cs"/>
          <w:rtl/>
        </w:rPr>
        <w:t>לדיון נוסף בפסק דין שניתן על-ידי בית משפט זה. לכך נוסיף, כי יש לתת משקל מסוים גם לכך שפסק הדין מושא העתירה ניתן פה אחד (</w:t>
      </w:r>
      <w:bookmarkStart w:id="6" w:name="LastJudge"/>
      <w:r>
        <w:rPr>
          <w:rFonts w:ascii="FrankRuehl" w:hAnsi="FrankRuehl" w:hint="cs"/>
          <w:color w:val="000000"/>
          <w:sz w:val="28"/>
          <w:rtl/>
        </w:rPr>
        <w:t>דנ"א 8619/14</w:t>
      </w:r>
      <w:r w:rsidRPr="00BD261D">
        <w:rPr>
          <w:rFonts w:ascii="FrankRuehl" w:hAnsi="FrankRuehl" w:hint="cs"/>
          <w:color w:val="000000"/>
          <w:sz w:val="26"/>
          <w:szCs w:val="26"/>
        </w:rPr>
        <w:t>TOMMY HILFIGER LICENSING LLC</w:t>
      </w:r>
      <w:r w:rsidR="00BD261D">
        <w:rPr>
          <w:rFonts w:ascii="FrankRuehl" w:hAnsi="FrankRuehl"/>
          <w:color w:val="000000"/>
          <w:sz w:val="28"/>
        </w:rPr>
        <w:t xml:space="preserve"> </w:t>
      </w:r>
      <w:r>
        <w:rPr>
          <w:rFonts w:ascii="FrankRuehl" w:hAnsi="FrankRuehl" w:hint="cs"/>
          <w:color w:val="000000"/>
          <w:sz w:val="28"/>
          <w:rtl/>
        </w:rPr>
        <w:t xml:space="preserve">‏ </w:t>
      </w:r>
      <w:r w:rsidRPr="00DE43F1">
        <w:rPr>
          <w:rFonts w:ascii="Century" w:hAnsi="Century" w:cs="Miriam" w:hint="cs"/>
          <w:b/>
          <w:spacing w:val="0"/>
          <w:szCs w:val="24"/>
          <w:rtl/>
        </w:rPr>
        <w:t>נ' אלעד מנחם סויסה</w:t>
      </w:r>
      <w:bookmarkEnd w:id="6"/>
      <w:r>
        <w:rPr>
          <w:rFonts w:hint="cs"/>
          <w:rtl/>
        </w:rPr>
        <w:t>, פסקה ט"ו (2015</w:t>
      </w:r>
      <w:r w:rsidRPr="00DE43F1">
        <w:rPr>
          <w:rFonts w:ascii="Century" w:hAnsi="Century" w:hint="cs"/>
          <w:rtl/>
        </w:rPr>
        <w:t>); דנג"ץ 7730/15</w:t>
      </w:r>
      <w:r>
        <w:rPr>
          <w:rFonts w:ascii="Century" w:hAnsi="Century" w:hint="cs"/>
          <w:rtl/>
        </w:rPr>
        <w:t xml:space="preserve"> </w:t>
      </w:r>
      <w:r w:rsidRPr="00DE43F1">
        <w:rPr>
          <w:rFonts w:ascii="Century" w:hAnsi="Century" w:cs="Miriam" w:hint="cs"/>
          <w:b/>
          <w:spacing w:val="0"/>
          <w:szCs w:val="24"/>
          <w:rtl/>
        </w:rPr>
        <w:t>מדינת ישראל משרד האוצר נ' אברהם קוריצקי</w:t>
      </w:r>
      <w:r w:rsidRPr="00DE43F1">
        <w:rPr>
          <w:rFonts w:ascii="Century" w:hAnsi="Century" w:hint="cs"/>
          <w:rtl/>
        </w:rPr>
        <w:t>, פסקה י"ד (23.2.16)</w:t>
      </w:r>
      <w:r>
        <w:rPr>
          <w:rFonts w:ascii="Century" w:hAnsi="Century" w:hint="cs"/>
          <w:rtl/>
        </w:rPr>
        <w:t>)</w:t>
      </w:r>
      <w:r w:rsidRPr="00DE43F1">
        <w:rPr>
          <w:rFonts w:ascii="Century" w:hAnsi="Century" w:hint="cs"/>
          <w:rtl/>
        </w:rPr>
        <w:t>.</w:t>
      </w:r>
    </w:p>
    <w:p w:rsidR="005D5AB7" w:rsidRDefault="005D5AB7" w:rsidP="005D5AB7">
      <w:pPr>
        <w:pStyle w:val="Ruller40"/>
        <w:rPr>
          <w:rFonts w:hint="cs"/>
          <w:rtl/>
        </w:rPr>
      </w:pPr>
    </w:p>
    <w:p w:rsidR="005D5AB7" w:rsidRDefault="005D5AB7" w:rsidP="00BD261D">
      <w:pPr>
        <w:pStyle w:val="Ruller4"/>
        <w:rPr>
          <w:rFonts w:ascii="Century" w:hAnsi="Century" w:hint="cs"/>
          <w:rtl/>
        </w:rPr>
      </w:pPr>
      <w:r>
        <w:rPr>
          <w:rFonts w:hint="cs"/>
          <w:rtl/>
        </w:rPr>
        <w:t xml:space="preserve">לגופם של דברים אעיר, כי </w:t>
      </w:r>
      <w:r w:rsidR="00BD261D">
        <w:rPr>
          <w:rFonts w:hint="cs"/>
          <w:rtl/>
        </w:rPr>
        <w:t>לא יתכן</w:t>
      </w:r>
      <w:r>
        <w:rPr>
          <w:rFonts w:hint="cs"/>
          <w:rtl/>
        </w:rPr>
        <w:t xml:space="preserve"> חולק על חשיבותו של חוק חופש המידע</w:t>
      </w:r>
      <w:r w:rsidR="00BD261D">
        <w:rPr>
          <w:rFonts w:hint="cs"/>
          <w:rtl/>
        </w:rPr>
        <w:t>,</w:t>
      </w:r>
      <w:r>
        <w:rPr>
          <w:rFonts w:hint="cs"/>
          <w:rtl/>
        </w:rPr>
        <w:t xml:space="preserve"> אשר חקיקתו סימנה ועודה מסמנת אבן דרך משמעותית </w:t>
      </w:r>
      <w:r w:rsidR="00BD261D">
        <w:rPr>
          <w:rFonts w:hint="cs"/>
          <w:rtl/>
        </w:rPr>
        <w:t xml:space="preserve">וברוכה </w:t>
      </w:r>
      <w:r>
        <w:rPr>
          <w:rFonts w:hint="cs"/>
          <w:rtl/>
        </w:rPr>
        <w:t>בהנחלת מדיניות של שקיפות בקרב רשויות המ</w:t>
      </w:r>
      <w:r w:rsidR="00BD261D">
        <w:rPr>
          <w:rFonts w:hint="cs"/>
          <w:rtl/>
        </w:rPr>
        <w:t>י</w:t>
      </w:r>
      <w:r>
        <w:rPr>
          <w:rFonts w:hint="cs"/>
          <w:rtl/>
        </w:rPr>
        <w:t xml:space="preserve">נהל השונות ועיגונה של זכות הפרט למידע </w:t>
      </w:r>
      <w:r>
        <w:rPr>
          <w:rtl/>
        </w:rPr>
        <w:t>–</w:t>
      </w:r>
      <w:r>
        <w:rPr>
          <w:rFonts w:hint="cs"/>
          <w:rtl/>
        </w:rPr>
        <w:t xml:space="preserve">  או "זכות הציבור לדעת" </w:t>
      </w:r>
      <w:r>
        <w:rPr>
          <w:rtl/>
        </w:rPr>
        <w:t>–</w:t>
      </w:r>
      <w:r>
        <w:rPr>
          <w:rFonts w:hint="cs"/>
          <w:rtl/>
        </w:rPr>
        <w:t xml:space="preserve"> הנגזרת מ</w:t>
      </w:r>
      <w:r w:rsidR="00BD261D">
        <w:rPr>
          <w:rFonts w:hint="cs"/>
          <w:rtl/>
        </w:rPr>
        <w:t xml:space="preserve">ן </w:t>
      </w:r>
      <w:r>
        <w:rPr>
          <w:rFonts w:hint="cs"/>
          <w:rtl/>
        </w:rPr>
        <w:t xml:space="preserve">הזכות לחופש הביטוי (בג"צ 3472/92 </w:t>
      </w:r>
      <w:r w:rsidRPr="00B30EBE">
        <w:rPr>
          <w:rFonts w:ascii="Century" w:hAnsi="Century" w:cs="Miriam" w:hint="cs"/>
          <w:b/>
          <w:spacing w:val="0"/>
          <w:szCs w:val="24"/>
          <w:rtl/>
        </w:rPr>
        <w:t>ברנד נ' שר התקשורת</w:t>
      </w:r>
      <w:r>
        <w:rPr>
          <w:rFonts w:hint="cs"/>
          <w:rtl/>
        </w:rPr>
        <w:t xml:space="preserve">, פ"ד מז(3) 143, 150 (1993); עע"מ 6013/04 </w:t>
      </w:r>
      <w:r w:rsidRPr="00775991">
        <w:rPr>
          <w:rFonts w:ascii="Century" w:hAnsi="Century" w:cs="Miriam" w:hint="cs"/>
          <w:b/>
          <w:spacing w:val="0"/>
          <w:szCs w:val="24"/>
          <w:rtl/>
        </w:rPr>
        <w:t>מדינת ישראל נ' חברת החדשות</w:t>
      </w:r>
      <w:r>
        <w:rPr>
          <w:rFonts w:hint="cs"/>
          <w:rtl/>
        </w:rPr>
        <w:t xml:space="preserve">, פ"ד ס(4) 60, 75 (2006) (להלן </w:t>
      </w:r>
      <w:r w:rsidRPr="008F4937">
        <w:rPr>
          <w:rFonts w:ascii="Century" w:hAnsi="Century" w:cs="Miriam" w:hint="cs"/>
          <w:b/>
          <w:spacing w:val="0"/>
          <w:szCs w:val="24"/>
          <w:rtl/>
        </w:rPr>
        <w:t>עניין חברת החדשות</w:t>
      </w:r>
      <w:r>
        <w:rPr>
          <w:rFonts w:hint="cs"/>
          <w:rtl/>
        </w:rPr>
        <w:t xml:space="preserve">); א' ברק "חופש המידע ובית המשפט" </w:t>
      </w:r>
      <w:r>
        <w:rPr>
          <w:rFonts w:ascii="Century" w:hAnsi="Century" w:cs="Miriam" w:hint="cs"/>
          <w:b/>
          <w:spacing w:val="0"/>
          <w:szCs w:val="24"/>
          <w:rtl/>
        </w:rPr>
        <w:t>קרית המשפט ג'</w:t>
      </w:r>
      <w:r w:rsidRPr="000A1699">
        <w:rPr>
          <w:rFonts w:ascii="Century" w:hAnsi="Century" w:hint="cs"/>
          <w:rtl/>
        </w:rPr>
        <w:t xml:space="preserve"> 95 </w:t>
      </w:r>
      <w:r>
        <w:rPr>
          <w:rFonts w:ascii="Century" w:hAnsi="Century" w:hint="cs"/>
          <w:rtl/>
        </w:rPr>
        <w:t>, 98-97 (תשס"ג-2003)</w:t>
      </w:r>
      <w:r>
        <w:rPr>
          <w:rFonts w:hint="cs"/>
          <w:rtl/>
        </w:rPr>
        <w:t xml:space="preserve"> (להלן </w:t>
      </w:r>
      <w:r w:rsidRPr="00376F45">
        <w:rPr>
          <w:rFonts w:ascii="Century" w:hAnsi="Century" w:cs="Miriam" w:hint="cs"/>
          <w:b/>
          <w:spacing w:val="0"/>
          <w:szCs w:val="24"/>
          <w:rtl/>
        </w:rPr>
        <w:t>ברק</w:t>
      </w:r>
      <w:r>
        <w:rPr>
          <w:rFonts w:hint="cs"/>
          <w:rtl/>
        </w:rPr>
        <w:t>)). כפי ש</w:t>
      </w:r>
      <w:r w:rsidR="00BD261D">
        <w:rPr>
          <w:rFonts w:hint="cs"/>
          <w:rtl/>
        </w:rPr>
        <w:t xml:space="preserve">נזדמן לי לציין </w:t>
      </w:r>
      <w:r>
        <w:rPr>
          <w:rFonts w:hint="cs"/>
          <w:rtl/>
        </w:rPr>
        <w:t xml:space="preserve">בעניין קודם, "החידוש המרכזי של החוק הוא במסר, לפיו </w:t>
      </w:r>
      <w:r>
        <w:rPr>
          <w:rFonts w:ascii="Century" w:hAnsi="Century" w:cs="Miriam" w:hint="cs"/>
          <w:b/>
          <w:spacing w:val="0"/>
          <w:szCs w:val="24"/>
          <w:rtl/>
        </w:rPr>
        <w:t xml:space="preserve">המידע הציבורי הוא קניינו של הציבור </w:t>
      </w:r>
      <w:r>
        <w:rPr>
          <w:rFonts w:ascii="Century" w:hAnsi="Century"/>
          <w:rtl/>
        </w:rPr>
        <w:t>–</w:t>
      </w:r>
      <w:r>
        <w:rPr>
          <w:rFonts w:ascii="Century" w:hAnsi="Century" w:hint="cs"/>
          <w:rtl/>
        </w:rPr>
        <w:t xml:space="preserve"> ולא של המינהל, המחזיק אותו בנאמנות" (</w:t>
      </w:r>
      <w:r>
        <w:rPr>
          <w:rFonts w:ascii="FrankRuehl" w:hAnsi="FrankRuehl" w:hint="cs"/>
          <w:color w:val="000000"/>
          <w:sz w:val="28"/>
          <w:rtl/>
        </w:rPr>
        <w:t xml:space="preserve">בג"ץ 5870/14 </w:t>
      </w:r>
      <w:r w:rsidRPr="004047BC">
        <w:rPr>
          <w:rFonts w:ascii="Century" w:hAnsi="Century" w:cs="Miriam" w:hint="cs"/>
          <w:b/>
          <w:spacing w:val="0"/>
          <w:szCs w:val="24"/>
          <w:rtl/>
        </w:rPr>
        <w:t>חשבים ה.פ.ס. מידע עסקי בע"מ נ' הנהלת בתי המשפט</w:t>
      </w:r>
      <w:r w:rsidRPr="004047BC">
        <w:rPr>
          <w:rFonts w:ascii="Century" w:hAnsi="Century" w:hint="cs"/>
          <w:rtl/>
        </w:rPr>
        <w:t>, פסקה ל"ב</w:t>
      </w:r>
      <w:r>
        <w:rPr>
          <w:rFonts w:ascii="Century" w:hAnsi="Century" w:hint="cs"/>
          <w:rtl/>
        </w:rPr>
        <w:t xml:space="preserve"> (12.11.15); הדגשה במקור; וראו גם ז' סגל </w:t>
      </w:r>
      <w:r>
        <w:rPr>
          <w:rFonts w:ascii="Century" w:hAnsi="Century" w:cs="Miriam" w:hint="cs"/>
          <w:b/>
          <w:spacing w:val="0"/>
          <w:szCs w:val="24"/>
          <w:rtl/>
        </w:rPr>
        <w:t>הזכות לדעת באור חוק חופש המידע</w:t>
      </w:r>
      <w:r w:rsidRPr="00723732">
        <w:rPr>
          <w:rFonts w:ascii="Century" w:hAnsi="Century" w:hint="cs"/>
          <w:rtl/>
        </w:rPr>
        <w:t xml:space="preserve"> 11 (תש"ס)</w:t>
      </w:r>
      <w:r>
        <w:rPr>
          <w:rFonts w:ascii="Century" w:hAnsi="Century" w:hint="cs"/>
          <w:rtl/>
        </w:rPr>
        <w:t xml:space="preserve"> (להלן </w:t>
      </w:r>
      <w:r w:rsidRPr="001E4C29">
        <w:rPr>
          <w:rFonts w:ascii="Century" w:hAnsi="Century" w:cs="Miriam" w:hint="cs"/>
          <w:b/>
          <w:spacing w:val="0"/>
          <w:szCs w:val="24"/>
          <w:rtl/>
        </w:rPr>
        <w:t>סגל</w:t>
      </w:r>
      <w:r>
        <w:rPr>
          <w:rFonts w:ascii="Century" w:hAnsi="Century" w:hint="cs"/>
          <w:rtl/>
        </w:rPr>
        <w:t xml:space="preserve">)). תפיסה זו נעוצה בעצם מהותה של הדמוקרטיה </w:t>
      </w:r>
      <w:r>
        <w:rPr>
          <w:rFonts w:ascii="Century" w:hAnsi="Century"/>
          <w:rtl/>
        </w:rPr>
        <w:t>–</w:t>
      </w:r>
      <w:r>
        <w:rPr>
          <w:rFonts w:ascii="Century" w:hAnsi="Century" w:hint="cs"/>
          <w:rtl/>
        </w:rPr>
        <w:t xml:space="preserve"> שלטון העם </w:t>
      </w:r>
      <w:r>
        <w:rPr>
          <w:rFonts w:ascii="Century" w:hAnsi="Century"/>
          <w:rtl/>
        </w:rPr>
        <w:t>–</w:t>
      </w:r>
      <w:r>
        <w:rPr>
          <w:rFonts w:ascii="Century" w:hAnsi="Century" w:hint="cs"/>
          <w:rtl/>
        </w:rPr>
        <w:t xml:space="preserve"> הנשענת על כך שהעם מקבל החלטות מושכלות</w:t>
      </w:r>
      <w:r w:rsidR="00BD261D">
        <w:rPr>
          <w:rFonts w:ascii="Century" w:hAnsi="Century" w:hint="cs"/>
          <w:rtl/>
        </w:rPr>
        <w:t xml:space="preserve"> ביום דינו של הבוחר</w:t>
      </w:r>
      <w:r>
        <w:rPr>
          <w:rFonts w:ascii="Century" w:hAnsi="Century" w:hint="cs"/>
          <w:rtl/>
        </w:rPr>
        <w:t xml:space="preserve">, בין היתר על סמך הידע </w:t>
      </w:r>
      <w:r w:rsidR="008C1E05">
        <w:rPr>
          <w:rFonts w:ascii="Century" w:hAnsi="Century" w:hint="cs"/>
          <w:rtl/>
        </w:rPr>
        <w:t xml:space="preserve">והמידע </w:t>
      </w:r>
      <w:r>
        <w:rPr>
          <w:rFonts w:ascii="Century" w:hAnsi="Century" w:hint="cs"/>
          <w:rtl/>
        </w:rPr>
        <w:t>השלטוני המובא בפניו. כפי שציין השופט, כתארו אז, שמגר:</w:t>
      </w:r>
    </w:p>
    <w:p w:rsidR="005D5AB7" w:rsidRDefault="005D5AB7" w:rsidP="005D5AB7">
      <w:pPr>
        <w:pStyle w:val="Ruller40"/>
        <w:rPr>
          <w:rFonts w:hint="cs"/>
          <w:rtl/>
        </w:rPr>
      </w:pPr>
    </w:p>
    <w:p w:rsidR="005D5AB7" w:rsidRDefault="005D5AB7" w:rsidP="005D5AB7">
      <w:pPr>
        <w:pStyle w:val="Ruller5"/>
        <w:rPr>
          <w:rFonts w:hint="cs"/>
          <w:rtl/>
        </w:rPr>
      </w:pPr>
      <w:r>
        <w:rPr>
          <w:rFonts w:hint="cs"/>
          <w:rtl/>
        </w:rPr>
        <w:t xml:space="preserve">"שיטת הממשל הדמוקרטית ניזונה מכך </w:t>
      </w:r>
      <w:r>
        <w:rPr>
          <w:rtl/>
        </w:rPr>
        <w:t>–</w:t>
      </w:r>
      <w:r>
        <w:rPr>
          <w:rFonts w:hint="cs"/>
          <w:rtl/>
        </w:rPr>
        <w:t xml:space="preserve"> ואף תלויה בכך </w:t>
      </w:r>
      <w:r>
        <w:rPr>
          <w:rtl/>
        </w:rPr>
        <w:t>–</w:t>
      </w:r>
      <w:r>
        <w:rPr>
          <w:rFonts w:hint="cs"/>
          <w:rtl/>
        </w:rPr>
        <w:t xml:space="preserve"> שמן הציבור ואליו תהיה זרימה חופשית של מידע, אשר נסב על הנושאים המרכזיים, המשפיעים על חיי הכלל ועל חיי הפרט. על-כן יש הרואים בזרימה החופשית של המידע מעין מפתח לפעולתה של המערכת הדמוקרטית כולה" (בג"ץ 1/81 </w:t>
      </w:r>
      <w:r w:rsidRPr="00603D31">
        <w:rPr>
          <w:rFonts w:ascii="Century" w:hAnsi="Century" w:cs="Miriam" w:hint="cs"/>
          <w:b/>
          <w:spacing w:val="0"/>
          <w:szCs w:val="24"/>
          <w:rtl/>
        </w:rPr>
        <w:t>שירן נ' רשות השידור</w:t>
      </w:r>
      <w:r>
        <w:rPr>
          <w:rFonts w:hint="cs"/>
          <w:rtl/>
        </w:rPr>
        <w:t xml:space="preserve">, פ"ד לה(3) 365, 378 (1981); ראו גם </w:t>
      </w:r>
      <w:bookmarkStart w:id="7" w:name="Text1"/>
      <w:r>
        <w:rPr>
          <w:rFonts w:ascii="FrankRuehl" w:hAnsi="FrankRuehl" w:hint="cs"/>
          <w:color w:val="000000"/>
          <w:sz w:val="28"/>
          <w:rtl/>
        </w:rPr>
        <w:t xml:space="preserve">עע"מ 3908/11 </w:t>
      </w:r>
      <w:r w:rsidRPr="00252628">
        <w:rPr>
          <w:rFonts w:ascii="Century" w:hAnsi="Century" w:cs="Miriam" w:hint="cs"/>
          <w:b/>
          <w:spacing w:val="0"/>
          <w:szCs w:val="24"/>
          <w:rtl/>
        </w:rPr>
        <w:t>מדינת ישראל הנהלת בתי המשפט נ' עיתון דה מרקר עיתון הארץ בע"מ</w:t>
      </w:r>
      <w:bookmarkEnd w:id="7"/>
      <w:r w:rsidRPr="00252628">
        <w:rPr>
          <w:rFonts w:ascii="Century" w:hAnsi="Century" w:hint="cs"/>
          <w:rtl/>
        </w:rPr>
        <w:t>, פסקה 20 לפסק דינה של השופטת ארבל (2014)</w:t>
      </w:r>
      <w:r>
        <w:rPr>
          <w:rFonts w:ascii="Century" w:hAnsi="Century" w:hint="cs"/>
          <w:rtl/>
        </w:rPr>
        <w:t xml:space="preserve"> (להלן </w:t>
      </w:r>
      <w:r w:rsidRPr="00FB4444">
        <w:rPr>
          <w:rFonts w:ascii="Century" w:hAnsi="Century" w:cs="Miriam" w:hint="cs"/>
          <w:b/>
          <w:spacing w:val="0"/>
          <w:szCs w:val="24"/>
          <w:rtl/>
        </w:rPr>
        <w:t>עניין דה מרקר)</w:t>
      </w:r>
      <w:r>
        <w:rPr>
          <w:rFonts w:hint="cs"/>
          <w:rtl/>
        </w:rPr>
        <w:t xml:space="preserve">; עניין </w:t>
      </w:r>
      <w:r w:rsidRPr="008F4937">
        <w:rPr>
          <w:rFonts w:ascii="Century" w:hAnsi="Century" w:cs="Miriam" w:hint="cs"/>
          <w:b/>
          <w:spacing w:val="0"/>
          <w:szCs w:val="24"/>
          <w:rtl/>
        </w:rPr>
        <w:t>חברת החדשות</w:t>
      </w:r>
      <w:r>
        <w:rPr>
          <w:rFonts w:hint="cs"/>
          <w:rtl/>
        </w:rPr>
        <w:t>, בעמ' 76-75).</w:t>
      </w:r>
    </w:p>
    <w:p w:rsidR="00FE3AE3" w:rsidRDefault="00FE3AE3" w:rsidP="00FE3AE3">
      <w:pPr>
        <w:pStyle w:val="Ruller4"/>
        <w:numPr>
          <w:ilvl w:val="0"/>
          <w:numId w:val="0"/>
        </w:numPr>
        <w:rPr>
          <w:rFonts w:hint="cs"/>
          <w:rtl/>
        </w:rPr>
      </w:pPr>
    </w:p>
    <w:p w:rsidR="00AE4947" w:rsidRDefault="00AE4947" w:rsidP="00DB5A01">
      <w:pPr>
        <w:pStyle w:val="Ruller4"/>
        <w:numPr>
          <w:ilvl w:val="0"/>
          <w:numId w:val="0"/>
        </w:numPr>
        <w:rPr>
          <w:rFonts w:hint="cs"/>
          <w:rtl/>
        </w:rPr>
      </w:pPr>
      <w:r>
        <w:rPr>
          <w:rFonts w:hint="cs"/>
          <w:rtl/>
        </w:rPr>
        <w:tab/>
      </w:r>
      <w:r w:rsidR="00F120C3">
        <w:rPr>
          <w:rFonts w:hint="cs"/>
          <w:rtl/>
        </w:rPr>
        <w:t>ה</w:t>
      </w:r>
      <w:r w:rsidR="00FE3AE3">
        <w:rPr>
          <w:rFonts w:hint="cs"/>
          <w:rtl/>
        </w:rPr>
        <w:t xml:space="preserve">פסוק </w:t>
      </w:r>
      <w:r w:rsidR="00FE3AE3" w:rsidRPr="00FE3AE3">
        <w:rPr>
          <w:rFonts w:hint="cs"/>
          <w:rtl/>
        </w:rPr>
        <w:t>ב</w:t>
      </w:r>
      <w:r w:rsidR="00FE3AE3" w:rsidRPr="00FE3AE3">
        <w:rPr>
          <w:rFonts w:ascii="Century" w:hAnsi="Century" w:cs="Miriam" w:hint="cs"/>
          <w:b/>
          <w:spacing w:val="0"/>
          <w:szCs w:val="24"/>
          <w:rtl/>
        </w:rPr>
        <w:t>משלי</w:t>
      </w:r>
      <w:r w:rsidR="00FE3AE3">
        <w:rPr>
          <w:rFonts w:hint="cs"/>
          <w:rtl/>
        </w:rPr>
        <w:t xml:space="preserve"> (כ"ה, ב') אומר "כב</w:t>
      </w:r>
      <w:r w:rsidR="00DB5A01">
        <w:rPr>
          <w:rFonts w:hint="cs"/>
          <w:rtl/>
        </w:rPr>
        <w:t>ֹ</w:t>
      </w:r>
      <w:r w:rsidR="00FE3AE3">
        <w:rPr>
          <w:rFonts w:hint="cs"/>
          <w:rtl/>
        </w:rPr>
        <w:t>ד אלהים הסתר דבר וכב</w:t>
      </w:r>
      <w:r w:rsidR="00DB5A01">
        <w:rPr>
          <w:rFonts w:hint="cs"/>
          <w:rtl/>
        </w:rPr>
        <w:t>ֹ</w:t>
      </w:r>
      <w:r w:rsidR="00FE3AE3">
        <w:rPr>
          <w:rFonts w:hint="cs"/>
          <w:rtl/>
        </w:rPr>
        <w:t>ד מלכים חקר דבר", ועל חלקו השני כותב פרשן</w:t>
      </w:r>
      <w:r w:rsidR="00DB5A01">
        <w:rPr>
          <w:rFonts w:hint="cs"/>
          <w:rtl/>
        </w:rPr>
        <w:t xml:space="preserve"> </w:t>
      </w:r>
      <w:r w:rsidR="00DB5A01" w:rsidRPr="00DB5A01">
        <w:rPr>
          <w:rFonts w:ascii="Times New Roman" w:hAnsi="Times New Roman" w:cs="Miriam" w:hint="cs"/>
          <w:spacing w:val="0"/>
          <w:sz w:val="28"/>
          <w:szCs w:val="24"/>
          <w:rtl/>
        </w:rPr>
        <w:t>דעת מקרא</w:t>
      </w:r>
      <w:r w:rsidR="00FE3AE3" w:rsidRPr="00DB5A01">
        <w:rPr>
          <w:rFonts w:hint="cs"/>
          <w:rtl/>
        </w:rPr>
        <w:t xml:space="preserve"> </w:t>
      </w:r>
      <w:r w:rsidR="00FE3AE3">
        <w:rPr>
          <w:rFonts w:hint="cs"/>
          <w:rtl/>
        </w:rPr>
        <w:t xml:space="preserve">יהודה קיל "חקר דבר </w:t>
      </w:r>
      <w:r w:rsidR="00FE3AE3">
        <w:rPr>
          <w:rtl/>
        </w:rPr>
        <w:t>–</w:t>
      </w:r>
      <w:r w:rsidR="00FE3AE3">
        <w:rPr>
          <w:rFonts w:hint="cs"/>
          <w:rtl/>
        </w:rPr>
        <w:t xml:space="preserve"> עמוד על כוונתיהם ומחשבותיהם (של המלכים </w:t>
      </w:r>
      <w:r w:rsidR="00FE3AE3">
        <w:rPr>
          <w:rtl/>
        </w:rPr>
        <w:t>–</w:t>
      </w:r>
      <w:r w:rsidR="00FE3AE3">
        <w:rPr>
          <w:rFonts w:hint="cs"/>
          <w:rtl/>
        </w:rPr>
        <w:t xml:space="preserve"> א"ר) לכל עמקם" (ישנם גם פירושים אחרים); ומי הגון ויחלוק על דברי השופט לואי ברנדייס בדבר אור השמש </w:t>
      </w:r>
      <w:r w:rsidR="00FE3AE3" w:rsidRPr="00FE3AE3">
        <w:rPr>
          <w:rFonts w:hint="cs"/>
          <w:rtl/>
        </w:rPr>
        <w:t>המטהר</w:t>
      </w:r>
      <w:r w:rsidR="00FE3AE3" w:rsidRPr="00FE3AE3">
        <w:rPr>
          <w:rtl/>
        </w:rPr>
        <w:t xml:space="preserve">: </w:t>
      </w:r>
      <w:r w:rsidR="00FE3AE3" w:rsidRPr="00FD07FB">
        <w:rPr>
          <w:rStyle w:val="a7"/>
          <w:rFonts w:ascii="Times New Roman" w:hAnsi="Times New Roman" w:cs="Times New Roman"/>
          <w:b w:val="0"/>
          <w:bCs w:val="0"/>
          <w:sz w:val="24"/>
          <w:szCs w:val="24"/>
        </w:rPr>
        <w:t>"Sunlight is said to be the best of disinfectants</w:t>
      </w:r>
      <w:r w:rsidR="00FE3AE3" w:rsidRPr="00FD07FB">
        <w:rPr>
          <w:rStyle w:val="st1"/>
          <w:rFonts w:ascii="Times New Roman" w:hAnsi="Times New Roman" w:cs="Times New Roman"/>
          <w:b/>
          <w:bCs/>
          <w:sz w:val="24"/>
          <w:szCs w:val="24"/>
        </w:rPr>
        <w:t xml:space="preserve">; </w:t>
      </w:r>
      <w:r w:rsidR="00FE3AE3" w:rsidRPr="00FD07FB">
        <w:rPr>
          <w:rStyle w:val="a7"/>
          <w:rFonts w:ascii="Times New Roman" w:hAnsi="Times New Roman" w:cs="Times New Roman"/>
          <w:b w:val="0"/>
          <w:bCs w:val="0"/>
          <w:sz w:val="24"/>
          <w:szCs w:val="24"/>
        </w:rPr>
        <w:t>electric light the most efficient policeman</w:t>
      </w:r>
      <w:r w:rsidR="00FE3AE3" w:rsidRPr="00775B04">
        <w:rPr>
          <w:rStyle w:val="a7"/>
          <w:b w:val="0"/>
          <w:bCs w:val="0"/>
        </w:rPr>
        <w:t>"</w:t>
      </w:r>
      <w:r w:rsidR="00337796" w:rsidRPr="00775B04">
        <w:rPr>
          <w:rStyle w:val="a7"/>
          <w:b w:val="0"/>
          <w:bCs w:val="0"/>
        </w:rPr>
        <w:t xml:space="preserve"> </w:t>
      </w:r>
      <w:r w:rsidR="00775B04" w:rsidRPr="00FD07FB">
        <w:rPr>
          <w:rStyle w:val="a7"/>
          <w:rFonts w:ascii="Times New Roman" w:hAnsi="Times New Roman" w:cs="Times New Roman"/>
          <w:b w:val="0"/>
          <w:bCs w:val="0"/>
          <w:sz w:val="24"/>
          <w:szCs w:val="24"/>
        </w:rPr>
        <w:t xml:space="preserve">Louis D. Brandeis, </w:t>
      </w:r>
      <w:r w:rsidR="001E18FE" w:rsidRPr="00FD07FB">
        <w:rPr>
          <w:rStyle w:val="a7"/>
          <w:rFonts w:ascii="Times New Roman" w:hAnsi="Times New Roman" w:cs="Times New Roman"/>
          <w:b w:val="0"/>
          <w:bCs w:val="0"/>
          <w:i/>
          <w:iCs/>
          <w:sz w:val="24"/>
          <w:szCs w:val="24"/>
        </w:rPr>
        <w:t xml:space="preserve">What Publicity Can Do </w:t>
      </w:r>
      <w:r w:rsidR="001E18FE" w:rsidRPr="00FD07FB">
        <w:rPr>
          <w:rStyle w:val="a7"/>
          <w:rFonts w:ascii="Times New Roman" w:hAnsi="Times New Roman" w:cs="Times New Roman"/>
          <w:b w:val="0"/>
          <w:bCs w:val="0"/>
          <w:sz w:val="24"/>
          <w:szCs w:val="24"/>
        </w:rPr>
        <w:t>Harper's Weekly, p. 10 (1913)</w:t>
      </w:r>
      <w:r w:rsidR="00FE3AE3" w:rsidRPr="00FE3AE3">
        <w:rPr>
          <w:rFonts w:hint="cs"/>
          <w:rtl/>
        </w:rPr>
        <w:t xml:space="preserve">. </w:t>
      </w:r>
    </w:p>
    <w:p w:rsidR="00AE4947" w:rsidRDefault="00AE4947" w:rsidP="00AE4947">
      <w:pPr>
        <w:pStyle w:val="Ruller4"/>
        <w:numPr>
          <w:ilvl w:val="0"/>
          <w:numId w:val="0"/>
        </w:numPr>
        <w:rPr>
          <w:rFonts w:hint="cs"/>
          <w:rtl/>
        </w:rPr>
      </w:pPr>
    </w:p>
    <w:p w:rsidR="005D5AB7" w:rsidRDefault="00814165" w:rsidP="00760626">
      <w:pPr>
        <w:pStyle w:val="Ruller4"/>
        <w:rPr>
          <w:rFonts w:hint="cs"/>
        </w:rPr>
      </w:pPr>
      <w:r>
        <w:rPr>
          <w:rFonts w:hint="cs"/>
          <w:rtl/>
        </w:rPr>
        <w:t>שנותי הרבות בממשל למדוני ערכה של שקיפות, אך ג</w:t>
      </w:r>
      <w:r w:rsidR="00760626">
        <w:rPr>
          <w:rFonts w:hint="cs"/>
          <w:rtl/>
        </w:rPr>
        <w:t>ם ערכה של סודיות במקום המתאים;</w:t>
      </w:r>
      <w:r>
        <w:rPr>
          <w:rFonts w:hint="cs"/>
          <w:rtl/>
        </w:rPr>
        <w:t xml:space="preserve"> </w:t>
      </w:r>
      <w:r w:rsidR="00760626">
        <w:rPr>
          <w:rFonts w:hint="cs"/>
          <w:rtl/>
        </w:rPr>
        <w:t xml:space="preserve">ואכן, </w:t>
      </w:r>
      <w:r w:rsidR="005D5AB7" w:rsidRPr="00FE3AE3">
        <w:rPr>
          <w:rFonts w:hint="cs"/>
          <w:rtl/>
        </w:rPr>
        <w:t>שקיפות אי</w:t>
      </w:r>
      <w:r w:rsidR="005D5AB7">
        <w:rPr>
          <w:rFonts w:hint="cs"/>
          <w:rtl/>
        </w:rPr>
        <w:t>נה יכולה להיות מוחלטת בכל מקרה, ומכאן כי הזכות למידע, כמרבית זכויות האדם הנוספות, היא זכות בת-איזון, הן אל מול זכויות אדם מתנגשות והן אל מול אינטרסים ציבוריים שונים (</w:t>
      </w:r>
      <w:r w:rsidR="005D5AB7" w:rsidRPr="00C1757B">
        <w:rPr>
          <w:rFonts w:ascii="Century" w:hAnsi="Century" w:cs="Miriam" w:hint="cs"/>
          <w:b/>
          <w:spacing w:val="0"/>
          <w:szCs w:val="24"/>
          <w:rtl/>
        </w:rPr>
        <w:t>ברק</w:t>
      </w:r>
      <w:r w:rsidR="005D5AB7">
        <w:rPr>
          <w:rFonts w:hint="cs"/>
          <w:rtl/>
        </w:rPr>
        <w:t xml:space="preserve">, בעמ' 102-100; </w:t>
      </w:r>
      <w:r w:rsidR="005D5AB7" w:rsidRPr="00AE38D9">
        <w:rPr>
          <w:rFonts w:ascii="Century" w:hAnsi="Century" w:cs="Miriam" w:hint="cs"/>
          <w:b/>
          <w:spacing w:val="0"/>
          <w:szCs w:val="24"/>
          <w:rtl/>
        </w:rPr>
        <w:t xml:space="preserve">עניין </w:t>
      </w:r>
      <w:r w:rsidR="005D5AB7" w:rsidRPr="005F063A">
        <w:rPr>
          <w:rFonts w:ascii="Century" w:hAnsi="Century" w:cs="Miriam" w:hint="cs"/>
          <w:b/>
          <w:spacing w:val="0"/>
          <w:szCs w:val="24"/>
          <w:rtl/>
        </w:rPr>
        <w:t>חברת החדשות</w:t>
      </w:r>
      <w:r w:rsidR="005D5AB7">
        <w:rPr>
          <w:rFonts w:hint="cs"/>
          <w:rtl/>
        </w:rPr>
        <w:t xml:space="preserve">, בעמ' 85-84; </w:t>
      </w:r>
      <w:r w:rsidR="005D5AB7" w:rsidRPr="00AE38D9">
        <w:rPr>
          <w:rFonts w:ascii="Century" w:hAnsi="Century" w:cs="Miriam" w:hint="cs"/>
          <w:b/>
          <w:spacing w:val="0"/>
          <w:szCs w:val="24"/>
          <w:rtl/>
        </w:rPr>
        <w:t>עניין</w:t>
      </w:r>
      <w:r w:rsidR="005D5AB7" w:rsidRPr="00AE38D9">
        <w:rPr>
          <w:rFonts w:hint="cs"/>
          <w:rtl/>
        </w:rPr>
        <w:t xml:space="preserve"> </w:t>
      </w:r>
      <w:r w:rsidR="005D5AB7" w:rsidRPr="00523739">
        <w:rPr>
          <w:rFonts w:ascii="Century" w:hAnsi="Century" w:cs="Miriam" w:hint="cs"/>
          <w:b/>
          <w:spacing w:val="0"/>
          <w:szCs w:val="24"/>
          <w:rtl/>
        </w:rPr>
        <w:t>דה מרקר</w:t>
      </w:r>
      <w:r w:rsidR="005D5AB7">
        <w:rPr>
          <w:rFonts w:hint="cs"/>
          <w:rtl/>
        </w:rPr>
        <w:t>, פסקה 54 לפסק דינה של השופטת ארבל). בענייננו, ברקע הדברים נמצאת ההתנגשות שבין הזכות למידע לבי</w:t>
      </w:r>
      <w:r w:rsidR="00760626">
        <w:rPr>
          <w:rFonts w:hint="cs"/>
          <w:rtl/>
        </w:rPr>
        <w:t>ן האינטרס הציבורי של שמירה על ב</w:t>
      </w:r>
      <w:r w:rsidR="005D5AB7">
        <w:rPr>
          <w:rFonts w:hint="cs"/>
          <w:rtl/>
        </w:rPr>
        <w:t>טחון המדינה ו</w:t>
      </w:r>
      <w:r w:rsidR="00760626">
        <w:rPr>
          <w:rFonts w:hint="cs"/>
          <w:rtl/>
        </w:rPr>
        <w:t>היושבים בה</w:t>
      </w:r>
      <w:r w:rsidR="005D5AB7">
        <w:rPr>
          <w:rFonts w:hint="cs"/>
          <w:rtl/>
        </w:rPr>
        <w:t>.</w:t>
      </w:r>
      <w:r w:rsidR="00760626">
        <w:rPr>
          <w:rFonts w:hint="cs"/>
          <w:rtl/>
        </w:rPr>
        <w:t xml:space="preserve"> האיזון נחוץ, וכך גם מלמדנו השכל הישר.</w:t>
      </w:r>
      <w:r w:rsidR="005D5AB7">
        <w:rPr>
          <w:rFonts w:hint="cs"/>
          <w:rtl/>
        </w:rPr>
        <w:t xml:space="preserve"> בעניין זה קובע חוק חופש המידע שני מנגנונים שונים לאיזון האמור: </w:t>
      </w:r>
    </w:p>
    <w:p w:rsidR="005D5AB7" w:rsidRDefault="005D5AB7" w:rsidP="005D5AB7">
      <w:pPr>
        <w:pStyle w:val="Ruller4"/>
        <w:numPr>
          <w:ilvl w:val="0"/>
          <w:numId w:val="0"/>
        </w:numPr>
        <w:rPr>
          <w:rFonts w:hint="cs"/>
          <w:rtl/>
        </w:rPr>
      </w:pPr>
    </w:p>
    <w:p w:rsidR="005D5AB7" w:rsidRDefault="005D5AB7" w:rsidP="002059D2">
      <w:pPr>
        <w:pStyle w:val="Ruller4"/>
        <w:numPr>
          <w:ilvl w:val="0"/>
          <w:numId w:val="0"/>
        </w:numPr>
        <w:rPr>
          <w:rFonts w:hint="cs"/>
          <w:rtl/>
        </w:rPr>
      </w:pPr>
      <w:r>
        <w:rPr>
          <w:rFonts w:hint="cs"/>
          <w:rtl/>
        </w:rPr>
        <w:tab/>
        <w:t>האחד, מנגנון איזון לגופו של המידע המבוקש, הקבוע בסעיף 9(א) לחוק. לפי סעיף זה, הרשות לא תמסור מידע אשר יש ב</w:t>
      </w:r>
      <w:r w:rsidR="002059D2">
        <w:rPr>
          <w:rFonts w:hint="cs"/>
          <w:rtl/>
        </w:rPr>
        <w:t>גילויו, בין היתר, חשש לפגיעה בב</w:t>
      </w:r>
      <w:r>
        <w:rPr>
          <w:rFonts w:hint="cs"/>
          <w:rtl/>
        </w:rPr>
        <w:t xml:space="preserve">טחון המדינה או ביחסי החוץ שלה (סעיף 9(א)(1)), או במקרה בו מדובר במידע שנקבע על-ידי שר הביטחון, באישור ועדה משותפת של ועדת החוקה חוק ומשפט וועדת החוץ והבטחון של הכנסת, מטעמי שמירה על בטחון המדינה, כי אין למסרו (סעיף 9(א)(2)); כן אין למסור מידע האסור במסירה על פי חוק </w:t>
      </w:r>
      <w:r w:rsidR="002059D2">
        <w:rPr>
          <w:rFonts w:hint="cs"/>
          <w:rtl/>
        </w:rPr>
        <w:t>(</w:t>
      </w:r>
      <w:r>
        <w:rPr>
          <w:rFonts w:hint="cs"/>
          <w:rtl/>
        </w:rPr>
        <w:t xml:space="preserve">סעיף 9(א)(4)). כפי שציין </w:t>
      </w:r>
      <w:r w:rsidR="00CC3951">
        <w:rPr>
          <w:rFonts w:hint="cs"/>
          <w:rtl/>
        </w:rPr>
        <w:t xml:space="preserve">המלומד </w:t>
      </w:r>
      <w:r>
        <w:rPr>
          <w:rFonts w:hint="cs"/>
          <w:rtl/>
        </w:rPr>
        <w:t xml:space="preserve">ברק, במקרים אלה תוגשם תכלית החוק אם יוחלט לא למסור את המידע </w:t>
      </w:r>
      <w:r w:rsidR="002059D2">
        <w:rPr>
          <w:rFonts w:hint="cs"/>
          <w:rtl/>
        </w:rPr>
        <w:t>כאשר</w:t>
      </w:r>
      <w:r>
        <w:rPr>
          <w:rFonts w:hint="cs"/>
          <w:rtl/>
        </w:rPr>
        <w:t xml:space="preserve"> "הנזק לשלום הציבור ובטחונו הוא קשה, רציני וחמור, ואם הסתברות התרחשותו היא קרובה לוודאי" (</w:t>
      </w:r>
      <w:r w:rsidRPr="00BA60B7">
        <w:rPr>
          <w:rFonts w:ascii="Century" w:hAnsi="Century" w:cs="Miriam" w:hint="cs"/>
          <w:b/>
          <w:spacing w:val="0"/>
          <w:szCs w:val="24"/>
          <w:rtl/>
        </w:rPr>
        <w:t>ברק</w:t>
      </w:r>
      <w:r>
        <w:rPr>
          <w:rFonts w:hint="cs"/>
          <w:rtl/>
        </w:rPr>
        <w:t xml:space="preserve">, בעמ' 102; ראו גם </w:t>
      </w:r>
      <w:r w:rsidRPr="001E4C29">
        <w:rPr>
          <w:rFonts w:ascii="Century" w:hAnsi="Century" w:cs="Miriam" w:hint="cs"/>
          <w:b/>
          <w:spacing w:val="0"/>
          <w:szCs w:val="24"/>
          <w:rtl/>
        </w:rPr>
        <w:t>עניין חברת החדשות</w:t>
      </w:r>
      <w:r>
        <w:rPr>
          <w:rFonts w:hint="cs"/>
          <w:rtl/>
        </w:rPr>
        <w:t xml:space="preserve">, בעמ' 87-86; </w:t>
      </w:r>
      <w:r w:rsidRPr="00162424">
        <w:rPr>
          <w:rFonts w:ascii="Century" w:hAnsi="Century" w:cs="Miriam" w:hint="cs"/>
          <w:b/>
          <w:spacing w:val="0"/>
          <w:szCs w:val="24"/>
          <w:rtl/>
        </w:rPr>
        <w:t xml:space="preserve">עניין דה </w:t>
      </w:r>
      <w:r w:rsidRPr="008F7F3F">
        <w:rPr>
          <w:rFonts w:ascii="Century" w:hAnsi="Century" w:cs="Miriam" w:hint="cs"/>
          <w:b/>
          <w:spacing w:val="0"/>
          <w:szCs w:val="24"/>
          <w:rtl/>
        </w:rPr>
        <w:t>מרקר</w:t>
      </w:r>
      <w:r>
        <w:rPr>
          <w:rFonts w:hint="cs"/>
          <w:rtl/>
        </w:rPr>
        <w:t xml:space="preserve">, פסקה 54; וכן </w:t>
      </w:r>
      <w:r w:rsidRPr="001E4C29">
        <w:rPr>
          <w:rFonts w:ascii="Century" w:hAnsi="Century" w:cs="Miriam" w:hint="cs"/>
          <w:b/>
          <w:spacing w:val="0"/>
          <w:szCs w:val="24"/>
          <w:rtl/>
        </w:rPr>
        <w:t>סגל</w:t>
      </w:r>
      <w:r>
        <w:rPr>
          <w:rFonts w:hint="cs"/>
          <w:rtl/>
        </w:rPr>
        <w:t xml:space="preserve">, בעמ' 199). </w:t>
      </w:r>
    </w:p>
    <w:p w:rsidR="005D5AB7" w:rsidRDefault="005D5AB7" w:rsidP="005D5AB7">
      <w:pPr>
        <w:pStyle w:val="Ruller4"/>
        <w:numPr>
          <w:ilvl w:val="0"/>
          <w:numId w:val="0"/>
        </w:numPr>
        <w:rPr>
          <w:rFonts w:hint="cs"/>
          <w:rtl/>
        </w:rPr>
      </w:pPr>
    </w:p>
    <w:p w:rsidR="005D5AB7" w:rsidRDefault="005D5AB7" w:rsidP="00E2201F">
      <w:pPr>
        <w:pStyle w:val="Ruller4"/>
        <w:numPr>
          <w:ilvl w:val="0"/>
          <w:numId w:val="0"/>
        </w:numPr>
        <w:rPr>
          <w:rFonts w:hint="cs"/>
          <w:rtl/>
        </w:rPr>
      </w:pPr>
      <w:r>
        <w:rPr>
          <w:rFonts w:hint="cs"/>
          <w:rtl/>
        </w:rPr>
        <w:tab/>
        <w:t xml:space="preserve">השני, מנגנון סף, הקבוע בסעיף 14 לחוק; הוא העומד במרכז ענייננו. סעיף זה מחריג מתחולתו של החוק גופים מסוימים </w:t>
      </w:r>
      <w:r>
        <w:rPr>
          <w:rtl/>
        </w:rPr>
        <w:t>–</w:t>
      </w:r>
      <w:r>
        <w:rPr>
          <w:rFonts w:hint="cs"/>
          <w:rtl/>
        </w:rPr>
        <w:t xml:space="preserve"> לרבות הש</w:t>
      </w:r>
      <w:r w:rsidR="00E2201F">
        <w:rPr>
          <w:rFonts w:hint="cs"/>
          <w:rtl/>
        </w:rPr>
        <w:t>ב"כ, המוסד, הועדה לאנרגיה אטומי</w:t>
      </w:r>
      <w:r>
        <w:rPr>
          <w:rFonts w:hint="cs"/>
          <w:rtl/>
        </w:rPr>
        <w:t xml:space="preserve">ת ועוד </w:t>
      </w:r>
      <w:r>
        <w:rPr>
          <w:rtl/>
        </w:rPr>
        <w:t>–</w:t>
      </w:r>
      <w:r>
        <w:rPr>
          <w:rFonts w:hint="cs"/>
          <w:rtl/>
        </w:rPr>
        <w:t xml:space="preserve"> מתוך תפיסה כי הביטחון הציבורי מחייב </w:t>
      </w:r>
      <w:r w:rsidR="00E2201F">
        <w:rPr>
          <w:rFonts w:hint="cs"/>
          <w:rtl/>
        </w:rPr>
        <w:t>ש</w:t>
      </w:r>
      <w:r>
        <w:rPr>
          <w:rFonts w:hint="cs"/>
          <w:rtl/>
        </w:rPr>
        <w:t>השקיפות במוסדות אלה תהא מוגבלת מעיקרה</w:t>
      </w:r>
      <w:r w:rsidR="00E2201F">
        <w:rPr>
          <w:rFonts w:hint="cs"/>
          <w:rtl/>
        </w:rPr>
        <w:t>, דבר המובן לכל בר דעת</w:t>
      </w:r>
      <w:r>
        <w:rPr>
          <w:rFonts w:hint="cs"/>
          <w:rtl/>
        </w:rPr>
        <w:t xml:space="preserve">; ולכן, </w:t>
      </w:r>
      <w:r w:rsidRPr="00E2201F">
        <w:rPr>
          <w:rFonts w:hint="cs"/>
          <w:rtl/>
        </w:rPr>
        <w:t xml:space="preserve">כאשר ענייננו במידע "שנוצר, שנאסף או שמוחזק" בידי מי מהגופים הרשומים בסעיף, </w:t>
      </w:r>
      <w:r>
        <w:rPr>
          <w:rFonts w:hint="cs"/>
          <w:rtl/>
        </w:rPr>
        <w:t xml:space="preserve">אין לערוך איזון לגופו של מקרה ולגופו של המידע המבוקש, אלא </w:t>
      </w:r>
      <w:r>
        <w:rPr>
          <w:rtl/>
        </w:rPr>
        <w:t>–</w:t>
      </w:r>
      <w:r>
        <w:rPr>
          <w:rFonts w:hint="cs"/>
          <w:rtl/>
        </w:rPr>
        <w:t xml:space="preserve"> בהוראת המחוקק </w:t>
      </w:r>
      <w:r>
        <w:rPr>
          <w:rtl/>
        </w:rPr>
        <w:t>–</w:t>
      </w:r>
      <w:r>
        <w:rPr>
          <w:rFonts w:hint="cs"/>
          <w:rtl/>
        </w:rPr>
        <w:t xml:space="preserve"> תיטה המטוטלת אל אי</w:t>
      </w:r>
      <w:r w:rsidR="00E2201F">
        <w:rPr>
          <w:rFonts w:hint="cs"/>
          <w:rtl/>
        </w:rPr>
        <w:t xml:space="preserve"> </w:t>
      </w:r>
      <w:r>
        <w:rPr>
          <w:rFonts w:hint="cs"/>
          <w:rtl/>
        </w:rPr>
        <w:t xml:space="preserve">חיוב המדינה למסור את המידע המבוקש (ראו לעניין זה דברי ההסבר להצעת חוק חופש המידע, תשנ"ו-1996 </w:t>
      </w:r>
      <w:r>
        <w:rPr>
          <w:rFonts w:ascii="Century" w:hAnsi="Century" w:cs="Miriam" w:hint="cs"/>
          <w:b/>
          <w:spacing w:val="0"/>
          <w:szCs w:val="24"/>
          <w:rtl/>
        </w:rPr>
        <w:t xml:space="preserve">הצעות חוק </w:t>
      </w:r>
      <w:r>
        <w:rPr>
          <w:rFonts w:ascii="Century" w:hAnsi="Century" w:hint="cs"/>
          <w:rtl/>
        </w:rPr>
        <w:t>2523 608,</w:t>
      </w:r>
      <w:r>
        <w:rPr>
          <w:rFonts w:hint="cs"/>
          <w:rtl/>
        </w:rPr>
        <w:t xml:space="preserve"> 617-616 (1996)).  </w:t>
      </w:r>
    </w:p>
    <w:p w:rsidR="005D5AB7" w:rsidRDefault="005D5AB7" w:rsidP="005D5AB7">
      <w:pPr>
        <w:pStyle w:val="Ruller40"/>
        <w:rPr>
          <w:rFonts w:hint="cs"/>
          <w:rtl/>
        </w:rPr>
      </w:pPr>
    </w:p>
    <w:p w:rsidR="005D5AB7" w:rsidRDefault="005D5AB7" w:rsidP="00E2201F">
      <w:pPr>
        <w:pStyle w:val="Ruller4"/>
        <w:rPr>
          <w:rFonts w:hint="cs"/>
        </w:rPr>
      </w:pPr>
      <w:r>
        <w:rPr>
          <w:rFonts w:hint="cs"/>
          <w:rtl/>
        </w:rPr>
        <w:t>בענייננו, כפי שנקבע בפסק הדין, המידע המבוקש, הנוגע להיתרי האזנות סתר מטעמי ביטחון, נערך על-ידי השב"כ ומוחזק בפועל על-יד</w:t>
      </w:r>
      <w:r w:rsidR="00E2201F">
        <w:rPr>
          <w:rFonts w:hint="cs"/>
          <w:rtl/>
        </w:rPr>
        <w:t>יו</w:t>
      </w:r>
      <w:r>
        <w:rPr>
          <w:rFonts w:hint="cs"/>
          <w:rtl/>
        </w:rPr>
        <w:t>; ויתרה מכך, אף כאשר יצא מ</w:t>
      </w:r>
      <w:r w:rsidR="00E2201F">
        <w:rPr>
          <w:rFonts w:hint="cs"/>
          <w:rtl/>
        </w:rPr>
        <w:t xml:space="preserve">ן </w:t>
      </w:r>
      <w:r>
        <w:rPr>
          <w:rFonts w:hint="cs"/>
          <w:rtl/>
        </w:rPr>
        <w:t>השב"כ לראש הממשלה היה זה באמצעות המזכירות הצבאית, המוחרגת גם היא כאמור מהוראות החוק. נוכח זאת הוחלט</w:t>
      </w:r>
      <w:r w:rsidR="00E2201F">
        <w:rPr>
          <w:rFonts w:hint="cs"/>
          <w:rtl/>
        </w:rPr>
        <w:t>,</w:t>
      </w:r>
      <w:r>
        <w:rPr>
          <w:rFonts w:hint="cs"/>
          <w:rtl/>
        </w:rPr>
        <w:t xml:space="preserve"> כאמור</w:t>
      </w:r>
      <w:r w:rsidR="00E2201F">
        <w:rPr>
          <w:rFonts w:hint="cs"/>
          <w:rtl/>
        </w:rPr>
        <w:t>,</w:t>
      </w:r>
      <w:r>
        <w:rPr>
          <w:rFonts w:hint="cs"/>
          <w:rtl/>
        </w:rPr>
        <w:t xml:space="preserve"> כי ענייננו בא בגדרי סעיף 14 לחוק</w:t>
      </w:r>
      <w:r w:rsidR="00E2201F">
        <w:rPr>
          <w:rFonts w:hint="cs"/>
          <w:rtl/>
        </w:rPr>
        <w:t>, תוך</w:t>
      </w:r>
      <w:r>
        <w:rPr>
          <w:rFonts w:hint="cs"/>
          <w:rtl/>
        </w:rPr>
        <w:t xml:space="preserve"> </w:t>
      </w:r>
      <w:r w:rsidR="00E2201F">
        <w:rPr>
          <w:rFonts w:hint="cs"/>
          <w:rtl/>
        </w:rPr>
        <w:t>ש</w:t>
      </w:r>
      <w:r>
        <w:rPr>
          <w:rFonts w:hint="cs"/>
          <w:rtl/>
        </w:rPr>
        <w:t>הפסיקה תחומה לנסיבות הקונקרטיות של המקרה.</w:t>
      </w:r>
    </w:p>
    <w:p w:rsidR="005D5AB7" w:rsidRPr="004D6120" w:rsidRDefault="005D5AB7" w:rsidP="005D5AB7">
      <w:pPr>
        <w:pStyle w:val="Ruller4"/>
        <w:numPr>
          <w:ilvl w:val="0"/>
          <w:numId w:val="0"/>
        </w:numPr>
        <w:rPr>
          <w:rFonts w:hint="cs"/>
        </w:rPr>
      </w:pPr>
    </w:p>
    <w:p w:rsidR="005D5AB7" w:rsidRDefault="005D5AB7" w:rsidP="00DB5A01">
      <w:pPr>
        <w:pStyle w:val="Ruller4"/>
        <w:numPr>
          <w:ilvl w:val="0"/>
          <w:numId w:val="0"/>
        </w:numPr>
        <w:rPr>
          <w:rFonts w:hint="cs"/>
        </w:rPr>
      </w:pPr>
      <w:r>
        <w:rPr>
          <w:rFonts w:hint="cs"/>
          <w:rtl/>
        </w:rPr>
        <w:tab/>
        <w:t xml:space="preserve">ברי, כי אין בפסק הדין כדי לאשר </w:t>
      </w:r>
      <w:r w:rsidR="004D6120">
        <w:rPr>
          <w:rtl/>
        </w:rPr>
        <w:t>–</w:t>
      </w:r>
      <w:r w:rsidR="004D6120">
        <w:rPr>
          <w:rFonts w:hint="cs"/>
          <w:rtl/>
        </w:rPr>
        <w:t xml:space="preserve"> כביכול </w:t>
      </w:r>
      <w:r w:rsidR="004D6120">
        <w:rPr>
          <w:rtl/>
        </w:rPr>
        <w:t>–</w:t>
      </w:r>
      <w:r w:rsidR="004D6120">
        <w:rPr>
          <w:rFonts w:hint="cs"/>
          <w:rtl/>
        </w:rPr>
        <w:t xml:space="preserve"> </w:t>
      </w:r>
      <w:r>
        <w:rPr>
          <w:rFonts w:hint="cs"/>
          <w:rtl/>
        </w:rPr>
        <w:t>הסתרת מידע ציבורי מעיני הציבור, באמצעות העברתו מרשות עליה חל החוק אל רשות המוחרגת ממנו</w:t>
      </w:r>
      <w:r w:rsidR="004D6120">
        <w:rPr>
          <w:rFonts w:hint="cs"/>
          <w:rtl/>
        </w:rPr>
        <w:t xml:space="preserve">, </w:t>
      </w:r>
      <w:r>
        <w:rPr>
          <w:rFonts w:hint="cs"/>
          <w:rtl/>
        </w:rPr>
        <w:t xml:space="preserve"> או</w:t>
      </w:r>
      <w:r w:rsidR="004D6120">
        <w:rPr>
          <w:rFonts w:hint="cs"/>
          <w:rtl/>
        </w:rPr>
        <w:t xml:space="preserve"> באופן</w:t>
      </w:r>
      <w:r>
        <w:rPr>
          <w:rFonts w:hint="cs"/>
          <w:rtl/>
        </w:rPr>
        <w:t xml:space="preserve"> חמור מכך</w:t>
      </w:r>
      <w:r w:rsidR="004D6120">
        <w:rPr>
          <w:rFonts w:hint="cs"/>
          <w:rtl/>
        </w:rPr>
        <w:t>,</w:t>
      </w:r>
      <w:r>
        <w:rPr>
          <w:rFonts w:hint="cs"/>
          <w:rtl/>
        </w:rPr>
        <w:t xml:space="preserve"> אל ידיים פרטיות. ענייננו כאמור במידע שראשיתו,</w:t>
      </w:r>
      <w:r w:rsidR="004D6120">
        <w:rPr>
          <w:rFonts w:hint="cs"/>
          <w:rtl/>
        </w:rPr>
        <w:t xml:space="preserve"> מהותו</w:t>
      </w:r>
      <w:r>
        <w:rPr>
          <w:rFonts w:hint="cs"/>
          <w:rtl/>
        </w:rPr>
        <w:t xml:space="preserve"> </w:t>
      </w:r>
      <w:r w:rsidR="004D6120">
        <w:rPr>
          <w:rFonts w:hint="cs"/>
          <w:rtl/>
        </w:rPr>
        <w:t>ו</w:t>
      </w:r>
      <w:r>
        <w:rPr>
          <w:rFonts w:hint="cs"/>
          <w:rtl/>
        </w:rPr>
        <w:t>אחריתו בשב"כ,</w:t>
      </w:r>
      <w:r w:rsidR="005A5FEB">
        <w:rPr>
          <w:rFonts w:hint="cs"/>
          <w:rtl/>
        </w:rPr>
        <w:t xml:space="preserve"> ותחנת הביניים שלו במזכירות הצבאית,</w:t>
      </w:r>
      <w:r>
        <w:rPr>
          <w:rFonts w:hint="cs"/>
          <w:rtl/>
        </w:rPr>
        <w:t xml:space="preserve"> ומכאן ההחרגה; </w:t>
      </w:r>
      <w:r w:rsidR="004D6120">
        <w:rPr>
          <w:rFonts w:hint="cs"/>
          <w:rtl/>
        </w:rPr>
        <w:t xml:space="preserve">לא למותר להביא מפי אלוף (בדימוס) דני יתום, לשעבר מזכיר צבאי לראש הממשלה ושר הביטחון, כי ".. רוב החומר שמצטבר על שולחנו של המזכיר הצבאי הוא חומר מודיעיני" </w:t>
      </w:r>
      <w:r w:rsidR="005A5FEB">
        <w:rPr>
          <w:rFonts w:hint="cs"/>
          <w:rtl/>
        </w:rPr>
        <w:t>(</w:t>
      </w:r>
      <w:r w:rsidR="004D6120">
        <w:rPr>
          <w:rFonts w:hint="cs"/>
          <w:rtl/>
        </w:rPr>
        <w:t xml:space="preserve">מתוך "הסיפור המודיעיני 'הבנה' ולא 'ידיעה'" </w:t>
      </w:r>
      <w:r w:rsidR="008E5D87">
        <w:rPr>
          <w:rFonts w:hint="cs"/>
          <w:rtl/>
        </w:rPr>
        <w:t xml:space="preserve">(סדנה להשקת ספרו של תא"ל (מי') איתי ברון "המחקר המודיעיני"), </w:t>
      </w:r>
      <w:r w:rsidR="008E5D87" w:rsidRPr="005A5FEB">
        <w:rPr>
          <w:rFonts w:ascii="Times New Roman" w:hAnsi="Times New Roman" w:cs="Miriam" w:hint="cs"/>
          <w:spacing w:val="0"/>
          <w:sz w:val="28"/>
          <w:szCs w:val="24"/>
          <w:rtl/>
        </w:rPr>
        <w:t xml:space="preserve">המרכז למורשת המודיעין </w:t>
      </w:r>
      <w:r w:rsidR="008E5D87" w:rsidRPr="005A5FEB">
        <w:rPr>
          <w:rFonts w:ascii="Times New Roman" w:hAnsi="Times New Roman" w:cs="Miriam"/>
          <w:spacing w:val="0"/>
          <w:sz w:val="28"/>
          <w:szCs w:val="24"/>
          <w:rtl/>
        </w:rPr>
        <w:t>–</w:t>
      </w:r>
      <w:r w:rsidR="008E5D87" w:rsidRPr="005A5FEB">
        <w:rPr>
          <w:rFonts w:ascii="Times New Roman" w:hAnsi="Times New Roman" w:cs="Miriam" w:hint="cs"/>
          <w:spacing w:val="0"/>
          <w:sz w:val="28"/>
          <w:szCs w:val="24"/>
          <w:rtl/>
        </w:rPr>
        <w:t xml:space="preserve"> המכון לחקר מודיעין ומדיניות</w:t>
      </w:r>
      <w:r w:rsidR="008E5D87">
        <w:rPr>
          <w:rFonts w:hint="cs"/>
          <w:rtl/>
        </w:rPr>
        <w:t xml:space="preserve"> (אדר ב' תשע"ו </w:t>
      </w:r>
      <w:r w:rsidR="008E5D87">
        <w:rPr>
          <w:rtl/>
        </w:rPr>
        <w:t>–</w:t>
      </w:r>
      <w:r w:rsidR="008E5D87">
        <w:rPr>
          <w:rFonts w:hint="cs"/>
          <w:rtl/>
        </w:rPr>
        <w:t xml:space="preserve"> אפריל 2016)</w:t>
      </w:r>
      <w:r w:rsidR="00DB5A01">
        <w:rPr>
          <w:rFonts w:hint="cs"/>
          <w:rtl/>
        </w:rPr>
        <w:t>)</w:t>
      </w:r>
      <w:r w:rsidR="008E5D87">
        <w:rPr>
          <w:rFonts w:hint="cs"/>
          <w:rtl/>
        </w:rPr>
        <w:t>.</w:t>
      </w:r>
      <w:r w:rsidR="00D60450">
        <w:rPr>
          <w:rFonts w:hint="cs"/>
          <w:rtl/>
        </w:rPr>
        <w:t xml:space="preserve"> עסקינן בגופים מסוימים מוחרגים, ואין רבותא בכך שהחומר השב"כי עובר במזכירות הצבאית </w:t>
      </w:r>
      <w:r w:rsidR="00D60450">
        <w:rPr>
          <w:rtl/>
        </w:rPr>
        <w:t>–</w:t>
      </w:r>
      <w:r w:rsidR="00D60450">
        <w:rPr>
          <w:rFonts w:hint="cs"/>
          <w:rtl/>
        </w:rPr>
        <w:t xml:space="preserve"> המוחרגת כאמור גם היא </w:t>
      </w:r>
      <w:r w:rsidR="00D60450">
        <w:rPr>
          <w:rtl/>
        </w:rPr>
        <w:t>–</w:t>
      </w:r>
      <w:r w:rsidR="00D60450">
        <w:rPr>
          <w:rFonts w:hint="cs"/>
          <w:rtl/>
        </w:rPr>
        <w:t xml:space="preserve"> ושב למקורו. לכן אין</w:t>
      </w:r>
      <w:r>
        <w:rPr>
          <w:rFonts w:hint="cs"/>
          <w:rtl/>
        </w:rPr>
        <w:t xml:space="preserve"> בית משפט זה </w:t>
      </w:r>
      <w:r w:rsidR="00D60450">
        <w:rPr>
          <w:rFonts w:hint="cs"/>
          <w:rtl/>
        </w:rPr>
        <w:t xml:space="preserve">נדרש </w:t>
      </w:r>
      <w:r>
        <w:rPr>
          <w:rFonts w:hint="cs"/>
          <w:rtl/>
        </w:rPr>
        <w:t xml:space="preserve">לקבוע מבחנים מדוקדקים </w:t>
      </w:r>
      <w:r w:rsidR="00D60450">
        <w:rPr>
          <w:rFonts w:hint="cs"/>
          <w:rtl/>
        </w:rPr>
        <w:t>בשאלה</w:t>
      </w:r>
      <w:r>
        <w:rPr>
          <w:rFonts w:hint="cs"/>
          <w:rtl/>
        </w:rPr>
        <w:t xml:space="preserve"> אימתי תידרש רשות ציבורית להעביר מידע שהוכן על-יד</w:t>
      </w:r>
      <w:r w:rsidR="00D60450">
        <w:rPr>
          <w:rFonts w:hint="cs"/>
          <w:rtl/>
        </w:rPr>
        <w:t>י</w:t>
      </w:r>
      <w:r>
        <w:rPr>
          <w:rFonts w:hint="cs"/>
          <w:rtl/>
        </w:rPr>
        <w:t>ה אף שאינו</w:t>
      </w:r>
      <w:r w:rsidR="00D60450">
        <w:rPr>
          <w:rFonts w:hint="cs"/>
          <w:rtl/>
        </w:rPr>
        <w:t xml:space="preserve"> מצוי</w:t>
      </w:r>
      <w:r>
        <w:rPr>
          <w:rFonts w:hint="cs"/>
          <w:rtl/>
        </w:rPr>
        <w:t xml:space="preserve"> פיסית ברשותה. חזקה על רשויות המ</w:t>
      </w:r>
      <w:r w:rsidR="00D60450">
        <w:rPr>
          <w:rFonts w:hint="cs"/>
          <w:rtl/>
        </w:rPr>
        <w:t>י</w:t>
      </w:r>
      <w:r>
        <w:rPr>
          <w:rFonts w:hint="cs"/>
          <w:rtl/>
        </w:rPr>
        <w:t>נהל</w:t>
      </w:r>
      <w:r w:rsidR="00D60450">
        <w:rPr>
          <w:rFonts w:hint="cs"/>
          <w:rtl/>
        </w:rPr>
        <w:t xml:space="preserve"> </w:t>
      </w:r>
      <w:r w:rsidR="00D60450">
        <w:rPr>
          <w:rtl/>
        </w:rPr>
        <w:t>–</w:t>
      </w:r>
      <w:r w:rsidR="00D60450">
        <w:rPr>
          <w:rFonts w:hint="cs"/>
          <w:rtl/>
        </w:rPr>
        <w:t xml:space="preserve"> חזקה שיש לשקוד עליה </w:t>
      </w:r>
      <w:r w:rsidR="00D60450">
        <w:rPr>
          <w:rtl/>
        </w:rPr>
        <w:t>–</w:t>
      </w:r>
      <w:r>
        <w:rPr>
          <w:rFonts w:hint="cs"/>
          <w:rtl/>
        </w:rPr>
        <w:t xml:space="preserve"> כי נוכח מעמדה הרם כאמור של זכות הציבור לדעת, וחשיבותה למשטר דמוקרטי תקין, י</w:t>
      </w:r>
      <w:r w:rsidR="00D60450">
        <w:rPr>
          <w:rFonts w:hint="cs"/>
          <w:rtl/>
        </w:rPr>
        <w:t>י</w:t>
      </w:r>
      <w:r>
        <w:rPr>
          <w:rFonts w:hint="cs"/>
          <w:rtl/>
        </w:rPr>
        <w:t>מנעו מע</w:t>
      </w:r>
      <w:r w:rsidR="00D60450">
        <w:rPr>
          <w:rFonts w:hint="cs"/>
          <w:rtl/>
        </w:rPr>
        <w:t>י</w:t>
      </w:r>
      <w:r>
        <w:rPr>
          <w:rFonts w:hint="cs"/>
          <w:rtl/>
        </w:rPr>
        <w:t>רוב מין בשאינו מינו ולא יעבירו מידע מיד אחת לאחרת אך לשם הסתרתו מעיני הציבור</w:t>
      </w:r>
      <w:r w:rsidR="00DB5A01">
        <w:rPr>
          <w:rFonts w:hint="cs"/>
          <w:rtl/>
        </w:rPr>
        <w:t>;</w:t>
      </w:r>
      <w:r w:rsidR="00D60450">
        <w:rPr>
          <w:rFonts w:hint="cs"/>
          <w:rtl/>
        </w:rPr>
        <w:t xml:space="preserve"> כך ינחו הרשויות עצמן וידריכו את עובדיהן הרלבנטיים.</w:t>
      </w:r>
      <w:r>
        <w:rPr>
          <w:rFonts w:hint="cs"/>
          <w:rtl/>
        </w:rPr>
        <w:t xml:space="preserve"> בנוסף, בית המשפט הדן בתיק קונקרטי יבחן את טענות העותר ואת התנהלות הרשות, ו</w:t>
      </w:r>
      <w:r w:rsidR="00D60450">
        <w:rPr>
          <w:rFonts w:hint="cs"/>
          <w:rtl/>
        </w:rPr>
        <w:t>ככל</w:t>
      </w:r>
      <w:r>
        <w:rPr>
          <w:rFonts w:hint="cs"/>
          <w:rtl/>
        </w:rPr>
        <w:t xml:space="preserve"> </w:t>
      </w:r>
      <w:r w:rsidR="00D60450">
        <w:rPr>
          <w:rFonts w:hint="cs"/>
          <w:rtl/>
        </w:rPr>
        <w:t>ש</w:t>
      </w:r>
      <w:r>
        <w:rPr>
          <w:rFonts w:hint="cs"/>
          <w:rtl/>
        </w:rPr>
        <w:t xml:space="preserve">יבסס העותר חשש סביר לכך שהעברת המידע במקרה קונקרטי נועדה להסתרתו, ישקול בית המשפט להורות למדינה לנמק את פשר העברת המידע מגוף אחד למשנהו; </w:t>
      </w:r>
      <w:r w:rsidR="00D60450">
        <w:rPr>
          <w:rFonts w:hint="cs"/>
          <w:rtl/>
        </w:rPr>
        <w:t>ו</w:t>
      </w:r>
      <w:r>
        <w:rPr>
          <w:rFonts w:hint="cs"/>
          <w:rtl/>
        </w:rPr>
        <w:t xml:space="preserve">אם ישתכנע בית המשפט כי הסברה של המדינה אינו מספק, בסמכותו </w:t>
      </w:r>
      <w:r w:rsidR="00D60450">
        <w:rPr>
          <w:rFonts w:hint="cs"/>
          <w:rtl/>
        </w:rPr>
        <w:t>ש</w:t>
      </w:r>
      <w:r>
        <w:rPr>
          <w:rFonts w:hint="cs"/>
          <w:rtl/>
        </w:rPr>
        <w:t xml:space="preserve">לא להעניק את הפטור הגורף הניתן מכוח סעיף 14. ודוק, השופטת ברון ציינה בפסק הדין, כי </w:t>
      </w:r>
      <w:r w:rsidRPr="00235AA8">
        <w:rPr>
          <w:rFonts w:ascii="Century" w:hAnsi="Century" w:cs="Miriam" w:hint="cs"/>
          <w:b/>
          <w:spacing w:val="0"/>
          <w:szCs w:val="24"/>
          <w:rtl/>
        </w:rPr>
        <w:t>אחד מן המקרים</w:t>
      </w:r>
      <w:r>
        <w:rPr>
          <w:rFonts w:hint="cs"/>
          <w:rtl/>
        </w:rPr>
        <w:t xml:space="preserve"> הללו יהיה כאשר העברת המידע נעשתה "אך כדי לחמוק מקיום חובת הגילוי של המידע" (פסקה 18); דהיינו, בית משפט </w:t>
      </w:r>
      <w:r w:rsidR="00D60450">
        <w:rPr>
          <w:rFonts w:hint="cs"/>
          <w:rtl/>
        </w:rPr>
        <w:t xml:space="preserve">זה </w:t>
      </w:r>
      <w:r>
        <w:rPr>
          <w:rFonts w:hint="cs"/>
          <w:rtl/>
        </w:rPr>
        <w:t xml:space="preserve">נמנע, ולטעמי </w:t>
      </w:r>
      <w:r w:rsidR="00D60450">
        <w:rPr>
          <w:rFonts w:hint="cs"/>
          <w:rtl/>
        </w:rPr>
        <w:t>אל נכון</w:t>
      </w:r>
      <w:r>
        <w:rPr>
          <w:rFonts w:hint="cs"/>
          <w:rtl/>
        </w:rPr>
        <w:t>, מקביעת רשימה סגורה של מקרים, והדברים יתבררו בהתאם לצורך בכל תיק לגופו.</w:t>
      </w:r>
      <w:r w:rsidR="00D60450">
        <w:rPr>
          <w:rFonts w:hint="cs"/>
          <w:rtl/>
        </w:rPr>
        <w:t xml:space="preserve"> לכך טעם של שכל ישר, שהרי אין לצפות מראש כל מקרה פרטני.</w:t>
      </w:r>
    </w:p>
    <w:p w:rsidR="005D5AB7" w:rsidRDefault="005D5AB7" w:rsidP="005D5AB7">
      <w:pPr>
        <w:pStyle w:val="Ruller4"/>
        <w:numPr>
          <w:ilvl w:val="0"/>
          <w:numId w:val="0"/>
        </w:numPr>
        <w:rPr>
          <w:rFonts w:hint="cs"/>
          <w:rtl/>
        </w:rPr>
      </w:pPr>
      <w:r>
        <w:rPr>
          <w:rFonts w:hint="cs"/>
          <w:rtl/>
        </w:rPr>
        <w:t xml:space="preserve"> </w:t>
      </w:r>
    </w:p>
    <w:p w:rsidR="003D597D" w:rsidRPr="00630B96" w:rsidRDefault="005D5AB7" w:rsidP="00B5060E">
      <w:pPr>
        <w:pStyle w:val="Ruller4"/>
        <w:rPr>
          <w:rFonts w:hint="cs"/>
          <w:rtl/>
        </w:rPr>
      </w:pPr>
      <w:r>
        <w:rPr>
          <w:rFonts w:hint="cs"/>
          <w:rtl/>
        </w:rPr>
        <w:t xml:space="preserve">כאמור, לטענת העותרת, משתמע מפסק הדין נשוא העתירה, כי במקרים בהם הועבר מידע, ציבורי במהותו, מרשות ציבורית לידיים פרטיות </w:t>
      </w:r>
      <w:r>
        <w:rPr>
          <w:rtl/>
        </w:rPr>
        <w:t>–</w:t>
      </w:r>
      <w:r>
        <w:rPr>
          <w:rFonts w:hint="cs"/>
          <w:rtl/>
        </w:rPr>
        <w:t xml:space="preserve"> למשל, במסגרת התקשרות חוזית </w:t>
      </w:r>
      <w:r>
        <w:rPr>
          <w:rtl/>
        </w:rPr>
        <w:t>–</w:t>
      </w:r>
      <w:r>
        <w:rPr>
          <w:rFonts w:hint="cs"/>
          <w:rtl/>
        </w:rPr>
        <w:t xml:space="preserve"> כך שמטעמים טכניים המידע כבר אינו נמצא בידי הרשות, לא יחולו </w:t>
      </w:r>
      <w:r w:rsidR="00D60450">
        <w:rPr>
          <w:rFonts w:hint="cs"/>
          <w:rtl/>
        </w:rPr>
        <w:t xml:space="preserve">הוראות החוק </w:t>
      </w:r>
      <w:r>
        <w:rPr>
          <w:rFonts w:hint="cs"/>
          <w:rtl/>
        </w:rPr>
        <w:t xml:space="preserve">והרשות לא תהא מחויבת במסירת המידע. </w:t>
      </w:r>
      <w:r w:rsidR="00D60450">
        <w:rPr>
          <w:rFonts w:hint="cs"/>
          <w:rtl/>
        </w:rPr>
        <w:t xml:space="preserve">ואולם, </w:t>
      </w:r>
      <w:r>
        <w:rPr>
          <w:rFonts w:hint="cs"/>
          <w:rtl/>
        </w:rPr>
        <w:t>אין להלום פרשנות זו שכן אין הנדון דומה לראיה, וברי כי האיזון משתנה כאשר המידע מוצא מידי רשויות המדינה אל רשויות פרטיות</w:t>
      </w:r>
      <w:r w:rsidR="00D60450">
        <w:rPr>
          <w:rFonts w:hint="cs"/>
          <w:rtl/>
        </w:rPr>
        <w:t>, ומכל מקום האחריות מוטלת על רשויות המדינה</w:t>
      </w:r>
      <w:r>
        <w:rPr>
          <w:rFonts w:hint="cs"/>
          <w:rtl/>
        </w:rPr>
        <w:t xml:space="preserve">. </w:t>
      </w:r>
      <w:r w:rsidRPr="00547A92">
        <w:rPr>
          <w:rFonts w:ascii="Century" w:hAnsi="Century" w:cs="Miriam" w:hint="cs"/>
          <w:b/>
          <w:spacing w:val="0"/>
          <w:szCs w:val="24"/>
          <w:rtl/>
        </w:rPr>
        <w:t>ראשית</w:t>
      </w:r>
      <w:r>
        <w:rPr>
          <w:rFonts w:hint="cs"/>
          <w:rtl/>
        </w:rPr>
        <w:t xml:space="preserve">, </w:t>
      </w:r>
      <w:r w:rsidR="00D60450">
        <w:rPr>
          <w:rFonts w:hint="cs"/>
          <w:rtl/>
        </w:rPr>
        <w:t>הדעת נותנת כי</w:t>
      </w:r>
      <w:r>
        <w:rPr>
          <w:rFonts w:hint="cs"/>
          <w:rtl/>
        </w:rPr>
        <w:t xml:space="preserve"> מקרים מעין אלה אינם שכיחים, </w:t>
      </w:r>
      <w:r w:rsidR="00D60450">
        <w:rPr>
          <w:rFonts w:hint="cs"/>
          <w:rtl/>
        </w:rPr>
        <w:t>ומכל מקום</w:t>
      </w:r>
      <w:r>
        <w:rPr>
          <w:rFonts w:hint="cs"/>
          <w:rtl/>
        </w:rPr>
        <w:t xml:space="preserve"> חזקה על רשות ציבורית שכאשר מדובר במידע רלבנטי לפעילותה, </w:t>
      </w:r>
      <w:r w:rsidR="00D60450">
        <w:rPr>
          <w:rFonts w:hint="cs"/>
          <w:rtl/>
        </w:rPr>
        <w:t>ה</w:t>
      </w:r>
      <w:r>
        <w:rPr>
          <w:rFonts w:hint="cs"/>
          <w:rtl/>
        </w:rPr>
        <w:t xml:space="preserve">מידע יישאר ברשותה ולא </w:t>
      </w:r>
      <w:r w:rsidR="00547A92">
        <w:rPr>
          <w:rFonts w:hint="cs"/>
          <w:rtl/>
        </w:rPr>
        <w:t>י</w:t>
      </w:r>
      <w:r w:rsidR="00630B96">
        <w:rPr>
          <w:rFonts w:hint="cs"/>
          <w:rtl/>
        </w:rPr>
        <w:t>י</w:t>
      </w:r>
      <w:r w:rsidR="00547A92">
        <w:rPr>
          <w:rFonts w:hint="cs"/>
          <w:rtl/>
        </w:rPr>
        <w:t>צא</w:t>
      </w:r>
      <w:r>
        <w:rPr>
          <w:rFonts w:hint="cs"/>
          <w:rtl/>
        </w:rPr>
        <w:t xml:space="preserve"> ללא סיבה לידי גורמים פרטיים</w:t>
      </w:r>
      <w:r w:rsidR="00D01378" w:rsidRPr="00630B96">
        <w:rPr>
          <w:rFonts w:hint="cs"/>
          <w:rtl/>
        </w:rPr>
        <w:t xml:space="preserve">; </w:t>
      </w:r>
      <w:r w:rsidR="00FF2BBA" w:rsidRPr="00630B96">
        <w:rPr>
          <w:rFonts w:hint="cs"/>
          <w:rtl/>
        </w:rPr>
        <w:t xml:space="preserve">כך - אלא כאשר מדובר בהעברת החומרים לגורמים הפועלים כ"ידה הארוכה" של הרשות, או לצרכים טכניים כגון אחסון, ואז מעיקרא יחולו לכאורה הוראות חוק חופש המידע, אלא אם תהא זו התקשרות עם ארגון המוחרג מהוראות החוק, כבענייננו, עם גוף פרטי (ראו למשל י' רבין ור' פלד "הזכות החוקתית לקבלת מידע" </w:t>
      </w:r>
      <w:r w:rsidR="00FF2BBA" w:rsidRPr="00630B96">
        <w:rPr>
          <w:rFonts w:ascii="Century" w:hAnsi="Century" w:cs="Miriam" w:hint="cs"/>
          <w:b/>
          <w:spacing w:val="0"/>
          <w:szCs w:val="24"/>
          <w:rtl/>
        </w:rPr>
        <w:t xml:space="preserve">ספר דליה דורנר </w:t>
      </w:r>
      <w:r w:rsidR="00FF2BBA" w:rsidRPr="00630B96">
        <w:rPr>
          <w:rFonts w:hint="cs"/>
          <w:rtl/>
        </w:rPr>
        <w:t>463, 508 (תשס"ט)).</w:t>
      </w:r>
    </w:p>
    <w:p w:rsidR="004A225A" w:rsidRPr="004A225A" w:rsidRDefault="004A225A" w:rsidP="004A225A">
      <w:pPr>
        <w:pStyle w:val="Ruller40"/>
        <w:rPr>
          <w:rFonts w:hint="cs"/>
        </w:rPr>
      </w:pPr>
    </w:p>
    <w:p w:rsidR="005D5AB7" w:rsidRDefault="005D5AB7" w:rsidP="00FF2BBA">
      <w:pPr>
        <w:pStyle w:val="Ruller4"/>
        <w:rPr>
          <w:rFonts w:hint="cs"/>
          <w:rtl/>
        </w:rPr>
      </w:pPr>
      <w:r w:rsidRPr="00630B96">
        <w:rPr>
          <w:rFonts w:ascii="Century" w:hAnsi="Century" w:cs="Miriam" w:hint="cs"/>
          <w:b/>
          <w:spacing w:val="0"/>
          <w:szCs w:val="24"/>
          <w:rtl/>
        </w:rPr>
        <w:t>שנית</w:t>
      </w:r>
      <w:r w:rsidRPr="00630B96">
        <w:rPr>
          <w:rFonts w:hint="cs"/>
          <w:rtl/>
        </w:rPr>
        <w:t>,</w:t>
      </w:r>
      <w:r w:rsidR="003809EF">
        <w:rPr>
          <w:rFonts w:hint="cs"/>
          <w:rtl/>
        </w:rPr>
        <w:t xml:space="preserve"> ובהמשך לאמור,</w:t>
      </w:r>
      <w:r>
        <w:rPr>
          <w:rFonts w:hint="cs"/>
          <w:rtl/>
        </w:rPr>
        <w:t xml:space="preserve"> אם יתעורר מקרה בו הועבר מידע ציבורי מרשות ציבורית אל גוף פרטי ונמצא בחזקת האחרון בלבד, ברי כי בית המשפט יוכל לערוך בירור הנוגע למטרת ההעברה</w:t>
      </w:r>
      <w:r w:rsidR="003809EF">
        <w:rPr>
          <w:rFonts w:hint="cs"/>
          <w:rtl/>
        </w:rPr>
        <w:t xml:space="preserve"> </w:t>
      </w:r>
      <w:r w:rsidR="003809EF">
        <w:rPr>
          <w:rtl/>
        </w:rPr>
        <w:t>–</w:t>
      </w:r>
      <w:r w:rsidR="003809EF">
        <w:rPr>
          <w:rFonts w:hint="cs"/>
          <w:rtl/>
        </w:rPr>
        <w:t xml:space="preserve"> ושוב, הדברים נאמרים תיאורטית </w:t>
      </w:r>
      <w:r w:rsidR="003809EF">
        <w:rPr>
          <w:rtl/>
        </w:rPr>
        <w:t>–</w:t>
      </w:r>
      <w:r>
        <w:rPr>
          <w:rFonts w:hint="cs"/>
          <w:rtl/>
        </w:rPr>
        <w:t xml:space="preserve"> ואם יימצא כי זו נ</w:t>
      </w:r>
      <w:r w:rsidR="003809EF">
        <w:rPr>
          <w:rFonts w:hint="cs"/>
          <w:rtl/>
        </w:rPr>
        <w:t>עשתה שלא כדין או ל</w:t>
      </w:r>
      <w:r>
        <w:rPr>
          <w:rFonts w:hint="cs"/>
          <w:rtl/>
        </w:rPr>
        <w:t>מטרות זרות, יוכל ל</w:t>
      </w:r>
      <w:r w:rsidR="00630B96">
        <w:rPr>
          <w:rFonts w:hint="cs"/>
          <w:rtl/>
        </w:rPr>
        <w:t xml:space="preserve">הורות על </w:t>
      </w:r>
      <w:r>
        <w:rPr>
          <w:rFonts w:hint="cs"/>
          <w:rtl/>
        </w:rPr>
        <w:t>גילוי המידע; ונזכיר כי כאשר גורם פרטי מתקשר עם רשות ציבורית, עליו לקחת בחשבון, כי ככלל, פרטי ההתקשרות עלולים להיות נגישים לפי חוק חופש המידע, בכפוף לסייגים הקבועים בחוק</w:t>
      </w:r>
      <w:r w:rsidR="003809EF">
        <w:rPr>
          <w:rFonts w:hint="cs"/>
          <w:rtl/>
        </w:rPr>
        <w:t xml:space="preserve">, דהיינו ככל שאין הוא ב"שותפות </w:t>
      </w:r>
      <w:r w:rsidR="003809EF" w:rsidRPr="00630B96">
        <w:rPr>
          <w:rFonts w:hint="cs"/>
          <w:rtl/>
        </w:rPr>
        <w:t>מידע" לגיטימית עם גוף שהוחרג, כבענייננו, מתחולת החוק</w:t>
      </w:r>
      <w:r>
        <w:rPr>
          <w:rFonts w:hint="cs"/>
          <w:rtl/>
        </w:rPr>
        <w:t xml:space="preserve"> (ה' סומר "חוק חופש המידע: הדין והמציאות" </w:t>
      </w:r>
      <w:r w:rsidRPr="00547A92">
        <w:rPr>
          <w:rFonts w:ascii="Century" w:hAnsi="Century" w:cs="Miriam" w:hint="cs"/>
          <w:b/>
          <w:spacing w:val="0"/>
          <w:szCs w:val="24"/>
          <w:rtl/>
        </w:rPr>
        <w:t>המשפט</w:t>
      </w:r>
      <w:r w:rsidRPr="007C07F3">
        <w:rPr>
          <w:rFonts w:hint="cs"/>
          <w:rtl/>
        </w:rPr>
        <w:t xml:space="preserve"> </w:t>
      </w:r>
      <w:r>
        <w:rPr>
          <w:rFonts w:hint="cs"/>
          <w:rtl/>
        </w:rPr>
        <w:t xml:space="preserve">ח' 435, 453 (תשס"ג)); תיק תיק לפי נסיבותיו, ומכל מקום אין בפסק הדין מושא העתירה כדי למנוע בירור פרטני בכל מקרה לגופו. יוער כי גם במקרה אליו הפנתה העותרת </w:t>
      </w:r>
      <w:r>
        <w:rPr>
          <w:rtl/>
        </w:rPr>
        <w:t>–</w:t>
      </w:r>
      <w:r>
        <w:rPr>
          <w:rFonts w:hint="cs"/>
          <w:rtl/>
        </w:rPr>
        <w:t xml:space="preserve"> עת"מ (מחוזי תל-אביב) 2926-09-11 </w:t>
      </w:r>
      <w:r w:rsidRPr="00547A92">
        <w:rPr>
          <w:rFonts w:ascii="Century" w:hAnsi="Century" w:cs="Miriam" w:hint="cs"/>
          <w:b/>
          <w:spacing w:val="0"/>
          <w:szCs w:val="24"/>
          <w:rtl/>
        </w:rPr>
        <w:t>סומך נ' משרד הביטחון</w:t>
      </w:r>
      <w:r w:rsidRPr="00547A92">
        <w:rPr>
          <w:rFonts w:ascii="Century" w:hAnsi="Century" w:hint="cs"/>
          <w:rtl/>
        </w:rPr>
        <w:t xml:space="preserve"> (2015), התעוררה השאלה של העברת המידע שנוצר בגוף ציבורי אל ידיים פרטיות, כשאלה תיאורטית בלבד; שכן בסופו של יום נמצא כי מדובר במידע שעבר מידיים פרטיות אל ידיים פרטיות אחרות</w:t>
      </w:r>
      <w:r w:rsidR="00050066">
        <w:rPr>
          <w:rFonts w:ascii="Century" w:hAnsi="Century" w:hint="cs"/>
          <w:rtl/>
        </w:rPr>
        <w:t>,</w:t>
      </w:r>
      <w:r w:rsidRPr="00547A92">
        <w:rPr>
          <w:rFonts w:ascii="Century" w:hAnsi="Century" w:hint="cs"/>
          <w:rtl/>
        </w:rPr>
        <w:t xml:space="preserve"> ולכן מעיקרא לא נערך או נמצא בחזקת רשות ציבורית, ומכאן </w:t>
      </w:r>
      <w:r w:rsidR="00050066">
        <w:rPr>
          <w:rFonts w:ascii="Century" w:hAnsi="Century" w:hint="cs"/>
          <w:rtl/>
        </w:rPr>
        <w:t>שלא היה</w:t>
      </w:r>
      <w:r w:rsidRPr="00547A92">
        <w:rPr>
          <w:rFonts w:ascii="Century" w:hAnsi="Century" w:hint="cs"/>
          <w:rtl/>
        </w:rPr>
        <w:t xml:space="preserve"> כפוף להוראות החוק. השאלה תתברר </w:t>
      </w:r>
      <w:r w:rsidR="0074160D">
        <w:rPr>
          <w:rFonts w:ascii="Century" w:hAnsi="Century" w:hint="cs"/>
          <w:rtl/>
        </w:rPr>
        <w:t>איפוא</w:t>
      </w:r>
      <w:r w:rsidR="00630B96">
        <w:rPr>
          <w:rFonts w:ascii="Century" w:hAnsi="Century" w:hint="cs"/>
          <w:rtl/>
        </w:rPr>
        <w:t xml:space="preserve"> קונקרטית</w:t>
      </w:r>
      <w:r w:rsidR="0074160D">
        <w:rPr>
          <w:rFonts w:ascii="Century" w:hAnsi="Century" w:hint="cs"/>
          <w:rtl/>
        </w:rPr>
        <w:t xml:space="preserve"> </w:t>
      </w:r>
      <w:r w:rsidRPr="00547A92">
        <w:rPr>
          <w:rFonts w:ascii="Century" w:hAnsi="Century" w:hint="cs"/>
          <w:rtl/>
        </w:rPr>
        <w:t xml:space="preserve">לאשורה </w:t>
      </w:r>
      <w:r w:rsidR="0074160D">
        <w:rPr>
          <w:rFonts w:ascii="Century" w:hAnsi="Century" w:hint="cs"/>
          <w:rtl/>
        </w:rPr>
        <w:t>לפי</w:t>
      </w:r>
      <w:r w:rsidRPr="00547A92">
        <w:rPr>
          <w:rFonts w:ascii="Century" w:hAnsi="Century" w:hint="cs"/>
          <w:rtl/>
        </w:rPr>
        <w:t xml:space="preserve"> </w:t>
      </w:r>
      <w:r w:rsidR="0074160D">
        <w:rPr>
          <w:rFonts w:ascii="Century" w:hAnsi="Century" w:hint="cs"/>
          <w:rtl/>
        </w:rPr>
        <w:t>ה</w:t>
      </w:r>
      <w:r w:rsidRPr="00547A92">
        <w:rPr>
          <w:rFonts w:ascii="Century" w:hAnsi="Century" w:hint="cs"/>
          <w:rtl/>
        </w:rPr>
        <w:t xml:space="preserve">צורך בתיק המתאים לכך. </w:t>
      </w:r>
    </w:p>
    <w:p w:rsidR="005D5AB7" w:rsidRDefault="005D5AB7" w:rsidP="005D5AB7">
      <w:pPr>
        <w:pStyle w:val="Ruller40"/>
        <w:rPr>
          <w:rFonts w:hint="cs"/>
          <w:rtl/>
        </w:rPr>
      </w:pPr>
    </w:p>
    <w:p w:rsidR="005D5AB7" w:rsidRDefault="005D5AB7" w:rsidP="005F209E">
      <w:pPr>
        <w:pStyle w:val="Ruller4"/>
        <w:rPr>
          <w:rFonts w:hint="cs"/>
          <w:rtl/>
        </w:rPr>
      </w:pPr>
      <w:r>
        <w:rPr>
          <w:rFonts w:hint="cs"/>
          <w:rtl/>
        </w:rPr>
        <w:t xml:space="preserve">טרם סיום אעיר, כי העובדה שאין </w:t>
      </w:r>
      <w:r w:rsidRPr="00A00422">
        <w:rPr>
          <w:rFonts w:ascii="Century" w:hAnsi="Century" w:cs="Miriam" w:hint="cs"/>
          <w:b/>
          <w:spacing w:val="0"/>
          <w:szCs w:val="24"/>
          <w:rtl/>
        </w:rPr>
        <w:t>חובה</w:t>
      </w:r>
      <w:r>
        <w:rPr>
          <w:rFonts w:hint="cs"/>
          <w:rtl/>
        </w:rPr>
        <w:t xml:space="preserve"> להעביר את המידע מכוח חוק חופש המידע, אין בה כדי לומר כי הרשות אינה </w:t>
      </w:r>
      <w:r w:rsidR="00A00422">
        <w:rPr>
          <w:rFonts w:hint="cs"/>
          <w:rtl/>
        </w:rPr>
        <w:t>רשאית</w:t>
      </w:r>
      <w:r>
        <w:rPr>
          <w:rFonts w:hint="cs"/>
          <w:rtl/>
        </w:rPr>
        <w:t xml:space="preserve"> </w:t>
      </w:r>
      <w:r w:rsidRPr="0071271A">
        <w:rPr>
          <w:rFonts w:hint="cs"/>
          <w:rtl/>
        </w:rPr>
        <w:t>לעשות כן</w:t>
      </w:r>
      <w:r w:rsidR="00B63C41" w:rsidRPr="0071271A">
        <w:rPr>
          <w:rFonts w:hint="cs"/>
          <w:rtl/>
        </w:rPr>
        <w:t>; ראו לעניין זה א</w:t>
      </w:r>
      <w:r w:rsidR="003F0EDB" w:rsidRPr="0071271A">
        <w:rPr>
          <w:rFonts w:hint="cs"/>
          <w:rtl/>
        </w:rPr>
        <w:t xml:space="preserve">ת הדברים שהביאה השופטת ברק ארז </w:t>
      </w:r>
      <w:r w:rsidR="00B63C41" w:rsidRPr="0071271A">
        <w:rPr>
          <w:rFonts w:hint="cs"/>
          <w:rtl/>
        </w:rPr>
        <w:t>בדבר מדיניות ה"גילוי מרצון" (</w:t>
      </w:r>
      <w:r w:rsidR="00B63C41" w:rsidRPr="0071271A">
        <w:rPr>
          <w:rFonts w:ascii="Times New Roman" w:hAnsi="Times New Roman" w:cs="Times New Roman"/>
          <w:sz w:val="24"/>
          <w:szCs w:val="24"/>
        </w:rPr>
        <w:t>voluntary disclosure</w:t>
      </w:r>
      <w:r w:rsidR="00B63C41" w:rsidRPr="0071271A">
        <w:rPr>
          <w:rFonts w:hint="cs"/>
          <w:rtl/>
        </w:rPr>
        <w:t>), דהיינו של</w:t>
      </w:r>
      <w:r w:rsidR="00603FAF" w:rsidRPr="0071271A">
        <w:rPr>
          <w:rFonts w:hint="cs"/>
          <w:rtl/>
        </w:rPr>
        <w:t>א</w:t>
      </w:r>
      <w:r w:rsidR="00B63C41" w:rsidRPr="0071271A">
        <w:rPr>
          <w:rFonts w:hint="cs"/>
          <w:rtl/>
        </w:rPr>
        <w:t xml:space="preserve"> מכוח </w:t>
      </w:r>
      <w:r w:rsidR="001D23DF" w:rsidRPr="0071271A">
        <w:rPr>
          <w:rFonts w:hint="cs"/>
          <w:rtl/>
        </w:rPr>
        <w:t>חובה חוקית, הנהוגה בהקשרים מסוי</w:t>
      </w:r>
      <w:r w:rsidR="00B63C41" w:rsidRPr="0071271A">
        <w:rPr>
          <w:rFonts w:hint="cs"/>
          <w:rtl/>
        </w:rPr>
        <w:t>מים בארצות הברית (</w:t>
      </w:r>
      <w:r w:rsidR="009472F6" w:rsidRPr="0071271A">
        <w:rPr>
          <w:rFonts w:hint="cs"/>
          <w:rtl/>
        </w:rPr>
        <w:t xml:space="preserve">עע"מ 2975/15 </w:t>
      </w:r>
      <w:r w:rsidR="009472F6" w:rsidRPr="0071271A">
        <w:rPr>
          <w:rFonts w:ascii="Century" w:hAnsi="Century" w:cs="Miriam" w:hint="cs"/>
          <w:b/>
          <w:spacing w:val="0"/>
          <w:szCs w:val="24"/>
          <w:rtl/>
        </w:rPr>
        <w:t>הוצאת עיתון 'הארץ' נ' משרד החוץ</w:t>
      </w:r>
      <w:r w:rsidR="009472F6" w:rsidRPr="0071271A">
        <w:rPr>
          <w:rFonts w:hint="cs"/>
          <w:rtl/>
        </w:rPr>
        <w:t>, פסקה 41 (6.6.16))</w:t>
      </w:r>
      <w:r w:rsidR="00630B96" w:rsidRPr="0071271A">
        <w:rPr>
          <w:rFonts w:hint="cs"/>
          <w:rtl/>
        </w:rPr>
        <w:t>,</w:t>
      </w:r>
      <w:r w:rsidR="00630B96">
        <w:rPr>
          <w:rFonts w:hint="cs"/>
          <w:rtl/>
        </w:rPr>
        <w:t xml:space="preserve"> בלא שאכנס לפירוט זה או אחר בשקלא וטריא שב</w:t>
      </w:r>
      <w:r w:rsidR="007C5A9A">
        <w:rPr>
          <w:rFonts w:hint="cs"/>
          <w:rtl/>
        </w:rPr>
        <w:t>פ</w:t>
      </w:r>
      <w:r w:rsidR="00630B96">
        <w:rPr>
          <w:rFonts w:hint="cs"/>
          <w:rtl/>
        </w:rPr>
        <w:t>סק הדין.</w:t>
      </w:r>
      <w:r>
        <w:rPr>
          <w:rFonts w:hint="cs"/>
          <w:rtl/>
        </w:rPr>
        <w:t xml:space="preserve"> כאמור, החרגת המידע המבוקש מכוח סעיף 14 משמעה כי המידע לא נבחן לגופו; וכפי שציינה השופטת ברון בפסק הדין</w:t>
      </w:r>
      <w:r w:rsidR="00630B96">
        <w:rPr>
          <w:rFonts w:hint="cs"/>
          <w:rtl/>
        </w:rPr>
        <w:t xml:space="preserve"> נשוא העתירה</w:t>
      </w:r>
      <w:r>
        <w:rPr>
          <w:rFonts w:hint="cs"/>
          <w:rtl/>
        </w:rPr>
        <w:t xml:space="preserve">, חרף טענת המדינה כי המידע חוסה תחת סעיף 9(1) וסעיף 9(4) לחוק ולכן אין על הרשות למסרו, טענה זו, לרבות עמידה בנטלי הראיה במקרה הקונקרטי, לא נבחנה. לטעמי, נוכח חשיבותה של זכות הציבור לדעת לקיומו של משטר דמוקרטי תקין, </w:t>
      </w:r>
      <w:r w:rsidR="00A00422">
        <w:rPr>
          <w:rFonts w:hint="cs"/>
          <w:rtl/>
        </w:rPr>
        <w:t>ייטיבו</w:t>
      </w:r>
      <w:r>
        <w:rPr>
          <w:rFonts w:hint="cs"/>
          <w:rtl/>
        </w:rPr>
        <w:t xml:space="preserve"> הרשויות השונות אם יטמיעו </w:t>
      </w:r>
      <w:r w:rsidR="00A00422">
        <w:rPr>
          <w:rFonts w:hint="cs"/>
          <w:rtl/>
        </w:rPr>
        <w:t xml:space="preserve">כאמור </w:t>
      </w:r>
      <w:r>
        <w:rPr>
          <w:rFonts w:hint="cs"/>
          <w:rtl/>
        </w:rPr>
        <w:t xml:space="preserve">את עקרונות השקיפות, ויואילו למסור מידע מבוקש ככל שביטחון המדינה מאפשר זאת, גם אם חוק חופש המידע אינו מחייבן לעשות כן. </w:t>
      </w:r>
      <w:r w:rsidR="007E3A28">
        <w:rPr>
          <w:rFonts w:hint="cs"/>
          <w:rtl/>
        </w:rPr>
        <w:t>ניתן, והדברים ידועים, לערוך פרפרזות המאזנות בין חופש המידע לבין צרכי הביטחון. וכמובן,</w:t>
      </w:r>
      <w:r>
        <w:rPr>
          <w:rFonts w:hint="cs"/>
          <w:rtl/>
        </w:rPr>
        <w:t xml:space="preserve"> השב"כ, ככל רשות אחרת ציבורית אחרת, הוא נאמן הציבור; ועל פני הדברים, ובזהירות המתבקשת אולם מהיכרות מקרוב עם המאטריה, </w:t>
      </w:r>
      <w:r w:rsidR="007E3A28">
        <w:rPr>
          <w:rFonts w:hint="cs"/>
          <w:rtl/>
        </w:rPr>
        <w:t>לא אחת</w:t>
      </w:r>
      <w:r>
        <w:rPr>
          <w:rFonts w:hint="cs"/>
          <w:rtl/>
        </w:rPr>
        <w:t xml:space="preserve"> </w:t>
      </w:r>
      <w:r>
        <w:rPr>
          <w:rtl/>
        </w:rPr>
        <w:t>–</w:t>
      </w:r>
      <w:r>
        <w:rPr>
          <w:rFonts w:hint="cs"/>
          <w:rtl/>
        </w:rPr>
        <w:t xml:space="preserve"> לא בשמים היא</w:t>
      </w:r>
      <w:r w:rsidR="007E3A28">
        <w:rPr>
          <w:rFonts w:hint="cs"/>
          <w:rtl/>
        </w:rPr>
        <w:t xml:space="preserve"> מסירת מידע בגדרי האיזון, וזאת</w:t>
      </w:r>
      <w:r>
        <w:rPr>
          <w:rFonts w:hint="cs"/>
          <w:rtl/>
        </w:rPr>
        <w:t xml:space="preserve"> גם אם </w:t>
      </w:r>
      <w:r w:rsidR="00630B96">
        <w:rPr>
          <w:rFonts w:hint="cs"/>
          <w:rtl/>
        </w:rPr>
        <w:t xml:space="preserve">אין במקרה נתון </w:t>
      </w:r>
      <w:r>
        <w:rPr>
          <w:rFonts w:hint="cs"/>
          <w:rtl/>
        </w:rPr>
        <w:t>חובה</w:t>
      </w:r>
      <w:r w:rsidR="007E3A28">
        <w:rPr>
          <w:rFonts w:hint="cs"/>
          <w:rtl/>
        </w:rPr>
        <w:t xml:space="preserve"> סטטוטורית</w:t>
      </w:r>
      <w:r>
        <w:rPr>
          <w:rFonts w:hint="cs"/>
          <w:rtl/>
        </w:rPr>
        <w:t xml:space="preserve"> לעשות זאת מכוח חוק חופש המידע</w:t>
      </w:r>
      <w:r w:rsidR="00630B96">
        <w:rPr>
          <w:rFonts w:hint="cs"/>
          <w:rtl/>
        </w:rPr>
        <w:t xml:space="preserve">. יהא כלל זה נקוט בידינו: ככל שבידי הרשות לשתף את הציבור במידע, עליה לעשות כן, בין על פי דין בין על פי שיקול דעת ועל פי השכל הישר. נהוג לדבר על אמון הציבור; זהו כמובן מושג עמום ולעתים חמקמק, אך עדיף עשרת מונים גילוי יזום </w:t>
      </w:r>
      <w:r w:rsidR="005F209E">
        <w:rPr>
          <w:rFonts w:hint="cs"/>
          <w:rtl/>
        </w:rPr>
        <w:t xml:space="preserve">על </w:t>
      </w:r>
      <w:r w:rsidR="00630B96">
        <w:rPr>
          <w:rFonts w:hint="cs"/>
          <w:rtl/>
        </w:rPr>
        <w:t>הידרשות</w:t>
      </w:r>
      <w:r w:rsidR="005F209E">
        <w:rPr>
          <w:rFonts w:hint="cs"/>
          <w:rtl/>
        </w:rPr>
        <w:t xml:space="preserve"> מאוחרת</w:t>
      </w:r>
      <w:r w:rsidR="00630B96">
        <w:rPr>
          <w:rFonts w:hint="cs"/>
          <w:rtl/>
        </w:rPr>
        <w:t xml:space="preserve"> להדלפות וסחרור. לדעתי, ככל שיגבר הגילוי הוולונטרי, כן יגבר האמון באותם מקרים שבהם עומדת הרשות על אי גיל</w:t>
      </w:r>
      <w:r w:rsidR="005F209E">
        <w:rPr>
          <w:rFonts w:hint="cs"/>
          <w:rtl/>
        </w:rPr>
        <w:t xml:space="preserve">ויו הלגיטימי </w:t>
      </w:r>
      <w:r w:rsidR="00630B96">
        <w:rPr>
          <w:rFonts w:hint="cs"/>
          <w:rtl/>
        </w:rPr>
        <w:t xml:space="preserve">של מידע בסייגים שבחוק. </w:t>
      </w:r>
      <w:r>
        <w:rPr>
          <w:rFonts w:hint="cs"/>
          <w:rtl/>
        </w:rPr>
        <w:t xml:space="preserve">  </w:t>
      </w:r>
    </w:p>
    <w:p w:rsidR="005D5AB7" w:rsidRDefault="005D5AB7" w:rsidP="005D5AB7">
      <w:pPr>
        <w:pStyle w:val="Ruller40"/>
        <w:rPr>
          <w:rFonts w:hint="cs"/>
          <w:rtl/>
        </w:rPr>
      </w:pPr>
    </w:p>
    <w:p w:rsidR="005D5AB7" w:rsidRPr="00F46E2D" w:rsidRDefault="00E351F1" w:rsidP="00FF2BBA">
      <w:pPr>
        <w:pStyle w:val="Ruller4"/>
        <w:rPr>
          <w:rFonts w:hint="cs"/>
          <w:rtl/>
        </w:rPr>
      </w:pPr>
      <w:r>
        <w:rPr>
          <w:rFonts w:hint="cs"/>
          <w:rtl/>
        </w:rPr>
        <w:t xml:space="preserve">בנתון לאמור </w:t>
      </w:r>
      <w:r w:rsidR="005D5AB7">
        <w:rPr>
          <w:rFonts w:hint="cs"/>
          <w:rtl/>
        </w:rPr>
        <w:t xml:space="preserve">אין בידי להיעתר למבוקש. בנסיבות לא </w:t>
      </w:r>
      <w:r w:rsidR="00D607E5">
        <w:rPr>
          <w:rFonts w:hint="cs"/>
          <w:rtl/>
        </w:rPr>
        <w:t>י</w:t>
      </w:r>
      <w:r w:rsidR="005D5AB7">
        <w:rPr>
          <w:rFonts w:hint="cs"/>
          <w:rtl/>
        </w:rPr>
        <w:t>יעשה צו להוצאות.</w:t>
      </w:r>
    </w:p>
    <w:p w:rsidR="005D5AB7" w:rsidRPr="00C90F94" w:rsidRDefault="005D5AB7" w:rsidP="005D5AB7">
      <w:pPr>
        <w:pStyle w:val="Ruller40"/>
        <w:rPr>
          <w:rFonts w:hint="cs"/>
          <w:rtl/>
        </w:rPr>
      </w:pPr>
    </w:p>
    <w:p w:rsidR="000B1478" w:rsidRDefault="00BC65DB" w:rsidP="00A51FAE">
      <w:pPr>
        <w:pStyle w:val="Ruller40"/>
        <w:rPr>
          <w:rtl/>
        </w:rPr>
      </w:pPr>
      <w:r>
        <w:rPr>
          <w:rtl/>
        </w:rPr>
        <w:tab/>
        <w:t xml:space="preserve">ניתנה היום, </w:t>
      </w:r>
      <w:r>
        <w:rPr>
          <w:rFonts w:hint="eastAsia"/>
          <w:rtl/>
        </w:rPr>
        <w:t>‏ב</w:t>
      </w:r>
      <w:r>
        <w:rPr>
          <w:rtl/>
        </w:rPr>
        <w:t>' בסיון התשע"ו (</w:t>
      </w:r>
      <w:r>
        <w:rPr>
          <w:rFonts w:hint="eastAsia"/>
          <w:rtl/>
        </w:rPr>
        <w:t>‏</w:t>
      </w:r>
      <w:r>
        <w:rPr>
          <w:rtl/>
        </w:rPr>
        <w:t>8.6.2016).</w:t>
      </w:r>
    </w:p>
    <w:p w:rsidR="00BC65DB" w:rsidRDefault="00BC65DB" w:rsidP="00A51FAE">
      <w:pPr>
        <w:pStyle w:val="Ruller40"/>
        <w:rPr>
          <w:rFonts w:hint="cs"/>
          <w:rtl/>
        </w:rPr>
      </w:pPr>
    </w:p>
    <w:p w:rsidR="00016EF1" w:rsidRDefault="00016EF1" w:rsidP="00A51FAE">
      <w:pPr>
        <w:pStyle w:val="Ruller40"/>
        <w:rPr>
          <w:rFonts w:hint="cs"/>
          <w:rtl/>
        </w:rPr>
      </w:pPr>
    </w:p>
    <w:tbl>
      <w:tblPr>
        <w:bidiVisual/>
        <w:tblW w:w="0" w:type="auto"/>
        <w:tblLook w:val="01E0" w:firstRow="1" w:lastRow="1" w:firstColumn="1" w:lastColumn="1" w:noHBand="0" w:noVBand="0"/>
      </w:tblPr>
      <w:tblGrid>
        <w:gridCol w:w="2842"/>
        <w:gridCol w:w="2843"/>
        <w:gridCol w:w="2843"/>
      </w:tblGrid>
      <w:tr w:rsidR="001A0164" w:rsidTr="00FD07FB">
        <w:tc>
          <w:tcPr>
            <w:tcW w:w="2842" w:type="dxa"/>
            <w:shd w:val="clear" w:color="auto" w:fill="auto"/>
          </w:tcPr>
          <w:p w:rsidR="00016EF1" w:rsidRDefault="00016EF1" w:rsidP="00A51FAE">
            <w:pPr>
              <w:pStyle w:val="Ruller40"/>
              <w:rPr>
                <w:rFonts w:hint="cs"/>
                <w:rtl/>
              </w:rPr>
            </w:pPr>
          </w:p>
        </w:tc>
        <w:tc>
          <w:tcPr>
            <w:tcW w:w="2843" w:type="dxa"/>
            <w:shd w:val="clear" w:color="auto" w:fill="auto"/>
          </w:tcPr>
          <w:p w:rsidR="001A0164" w:rsidRDefault="001A0164" w:rsidP="00FD07FB">
            <w:pPr>
              <w:pStyle w:val="Ruller40"/>
              <w:jc w:val="center"/>
              <w:rPr>
                <w:rFonts w:hint="cs"/>
                <w:rtl/>
              </w:rPr>
            </w:pPr>
          </w:p>
        </w:tc>
        <w:tc>
          <w:tcPr>
            <w:tcW w:w="2843" w:type="dxa"/>
            <w:shd w:val="clear" w:color="auto" w:fill="auto"/>
          </w:tcPr>
          <w:p w:rsidR="001A0164" w:rsidRDefault="00160770" w:rsidP="00FD07FB">
            <w:pPr>
              <w:pStyle w:val="Ruller40"/>
              <w:jc w:val="center"/>
              <w:rPr>
                <w:rFonts w:hint="cs"/>
                <w:rtl/>
              </w:rPr>
            </w:pPr>
            <w:r>
              <w:rPr>
                <w:rtl/>
              </w:rPr>
              <w:t>המשנה לנשיאה</w:t>
            </w:r>
          </w:p>
        </w:tc>
      </w:tr>
    </w:tbl>
    <w:p w:rsidR="00044953" w:rsidRDefault="00044953" w:rsidP="00A51FAE">
      <w:pPr>
        <w:pStyle w:val="Ruller40"/>
        <w:rPr>
          <w:rFonts w:hint="cs"/>
          <w:rtl/>
        </w:rPr>
      </w:pPr>
    </w:p>
    <w:p w:rsidR="00916FF8" w:rsidRDefault="00916FF8">
      <w:pPr>
        <w:rPr>
          <w:rFonts w:hint="cs"/>
          <w:szCs w:val="16"/>
          <w:rtl/>
        </w:rPr>
      </w:pPr>
      <w:r>
        <w:rPr>
          <w:szCs w:val="16"/>
          <w:rtl/>
        </w:rPr>
        <w:t>_________________</w:t>
      </w:r>
      <w:r w:rsidR="00A12E0F">
        <w:rPr>
          <w:rFonts w:hint="cs"/>
          <w:szCs w:val="16"/>
          <w:rtl/>
        </w:rPr>
        <w:t>________</w:t>
      </w:r>
    </w:p>
    <w:p w:rsidR="00916FF8" w:rsidRDefault="00591983" w:rsidP="00BC65DB">
      <w:pPr>
        <w:pStyle w:val="Ruller38"/>
        <w:rPr>
          <w:rFonts w:hint="cs"/>
          <w:rtl/>
        </w:rPr>
      </w:pPr>
      <w:r>
        <w:rPr>
          <w:rFonts w:hint="cs"/>
          <w:rtl/>
        </w:rPr>
        <w:t>העותק</w:t>
      </w:r>
      <w:r>
        <w:rPr>
          <w:rtl/>
        </w:rPr>
        <w:t xml:space="preserve"> כפוף לשינויי עריכה וניסוח</w:t>
      </w:r>
      <w:r>
        <w:rPr>
          <w:rFonts w:hint="cs"/>
          <w:rtl/>
        </w:rPr>
        <w:t>.</w:t>
      </w:r>
      <w:r>
        <w:rPr>
          <w:sz w:val="16"/>
        </w:rPr>
        <w:t xml:space="preserve"> </w:t>
      </w:r>
      <w:r w:rsidR="00A12E0F">
        <w:rPr>
          <w:sz w:val="16"/>
        </w:rPr>
        <w:t xml:space="preserve">  </w:t>
      </w:r>
      <w:r w:rsidR="00160770">
        <w:rPr>
          <w:sz w:val="16"/>
        </w:rPr>
        <w:t xml:space="preserve">15080200_T08.doc   </w:t>
      </w:r>
      <w:r w:rsidR="00BC65DB">
        <w:rPr>
          <w:rFonts w:hint="cs"/>
          <w:sz w:val="16"/>
          <w:rtl/>
        </w:rPr>
        <w:t>רח</w:t>
      </w:r>
    </w:p>
    <w:p w:rsidR="00591983" w:rsidRDefault="00591983" w:rsidP="00B63343">
      <w:pPr>
        <w:pStyle w:val="Ruller38"/>
        <w:rPr>
          <w:rFonts w:hint="cs"/>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Pr>
          <w:rFonts w:hint="cs"/>
          <w:rtl/>
        </w:rPr>
        <w:t xml:space="preserve"> ; אתר אינטרנט,  </w:t>
      </w:r>
      <w:hyperlink r:id="rId8" w:history="1">
        <w:r w:rsidR="003F1F97" w:rsidRPr="00062608">
          <w:rPr>
            <w:rStyle w:val="Hyperlink"/>
            <w:sz w:val="16"/>
          </w:rPr>
          <w:t>www.court.gov.il</w:t>
        </w:r>
      </w:hyperlink>
    </w:p>
    <w:p w:rsidR="003F1F97" w:rsidRDefault="003F1F97" w:rsidP="00591983">
      <w:pPr>
        <w:pStyle w:val="Ruller38"/>
        <w:rPr>
          <w:rtl/>
        </w:rPr>
      </w:pPr>
    </w:p>
    <w:sectPr w:rsidR="003F1F97" w:rsidSect="00591983">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6E" w:rsidRDefault="00EC066E">
      <w:r>
        <w:separator/>
      </w:r>
    </w:p>
  </w:endnote>
  <w:endnote w:type="continuationSeparator" w:id="0">
    <w:p w:rsidR="00EC066E" w:rsidRDefault="00EC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AFF" w:usb1="C0007843"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5A" w:rsidRDefault="004A225A">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4A225A" w:rsidRDefault="004A225A">
    <w:pPr>
      <w:pStyle w:val="a3"/>
      <w:rPr>
        <w:rtl/>
      </w:rPr>
    </w:pPr>
  </w:p>
  <w:p w:rsidR="004A225A" w:rsidRDefault="004A22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5A" w:rsidRDefault="004A22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5A" w:rsidRPr="00F959DB" w:rsidRDefault="004A225A" w:rsidP="00914156">
    <w:pPr>
      <w:pStyle w:val="a3"/>
      <w:bidi w:val="0"/>
      <w:jc w:val="right"/>
      <w:rPr>
        <w:sz w:val="16"/>
        <w:szCs w:val="16"/>
      </w:rPr>
    </w:pPr>
    <w:bookmarkStart w:id="8" w:name="footer_line"/>
    <w:bookmarkEnd w:id="8"/>
  </w:p>
  <w:p w:rsidR="004A225A" w:rsidRDefault="004A225A">
    <w:pPr>
      <w:pStyle w:val="a3"/>
      <w:rPr>
        <w:rFonts w:hint="cs"/>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6E" w:rsidRDefault="00EC066E">
      <w:r>
        <w:separator/>
      </w:r>
    </w:p>
  </w:footnote>
  <w:footnote w:type="continuationSeparator" w:id="0">
    <w:p w:rsidR="00EC066E" w:rsidRDefault="00EC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5A" w:rsidRDefault="004A225A">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Pr>
        <w:rStyle w:val="a4"/>
        <w:noProof/>
        <w:rtl/>
      </w:rPr>
      <w:t>1</w:t>
    </w:r>
    <w:r>
      <w:rPr>
        <w:rStyle w:val="a4"/>
        <w:rtl/>
      </w:rPr>
      <w:fldChar w:fldCharType="end"/>
    </w:r>
  </w:p>
  <w:p w:rsidR="004A225A" w:rsidRDefault="004A225A">
    <w:pPr>
      <w:pStyle w:val="a5"/>
      <w:rPr>
        <w:rtl/>
      </w:rPr>
    </w:pPr>
  </w:p>
  <w:p w:rsidR="004A225A" w:rsidRDefault="004A22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5A" w:rsidRDefault="004A225A">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C557F6">
      <w:rPr>
        <w:rStyle w:val="a4"/>
        <w:noProof/>
        <w:rtl/>
      </w:rPr>
      <w:t>2</w:t>
    </w:r>
    <w:r>
      <w:rPr>
        <w:rStyle w:val="a4"/>
        <w:rtl/>
      </w:rPr>
      <w:fldChar w:fldCharType="end"/>
    </w:r>
  </w:p>
  <w:p w:rsidR="004A225A" w:rsidRDefault="004A225A">
    <w:pPr>
      <w:pStyle w:val="a5"/>
      <w:rPr>
        <w:rtl/>
      </w:rPr>
    </w:pPr>
  </w:p>
  <w:p w:rsidR="004A225A" w:rsidRDefault="004A225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27" w:type="dxa"/>
      <w:tblLook w:val="0000" w:firstRow="0" w:lastRow="0" w:firstColumn="0" w:lastColumn="0" w:noHBand="0" w:noVBand="0"/>
    </w:tblPr>
    <w:tblGrid>
      <w:gridCol w:w="8501"/>
    </w:tblGrid>
    <w:tr w:rsidR="004A225A">
      <w:tblPrEx>
        <w:tblCellMar>
          <w:top w:w="0" w:type="dxa"/>
          <w:bottom w:w="0" w:type="dxa"/>
        </w:tblCellMar>
      </w:tblPrEx>
      <w:trPr>
        <w:trHeight w:val="342"/>
      </w:trPr>
      <w:tc>
        <w:tcPr>
          <w:tcW w:w="9828" w:type="dxa"/>
        </w:tcPr>
        <w:p w:rsidR="004A225A" w:rsidRPr="002F7BB6" w:rsidRDefault="004A225A" w:rsidP="00045B4D">
          <w:pPr>
            <w:pStyle w:val="Casenameintextbody"/>
            <w:jc w:val="center"/>
            <w:rPr>
              <w:rFonts w:hint="cs"/>
              <w:u w:val="none"/>
              <w:rtl/>
            </w:rPr>
          </w:pPr>
          <w:r w:rsidRPr="002F7BB6">
            <w:rPr>
              <w:sz w:val="16"/>
              <w:szCs w:val="18"/>
              <w:u w:val="non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35.05pt">
                <v:imagedata r:id="rId1" o:title=""/>
              </v:shape>
            </w:pict>
          </w:r>
        </w:p>
      </w:tc>
    </w:tr>
  </w:tbl>
  <w:p w:rsidR="004A225A" w:rsidRDefault="004A225A" w:rsidP="00045B4D">
    <w:pPr>
      <w:pStyle w:val="a5"/>
      <w:jc w:val="center"/>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A4F36"/>
    <w:lvl w:ilvl="0">
      <w:start w:val="1"/>
      <w:numFmt w:val="decimal"/>
      <w:lvlText w:val="%1."/>
      <w:lvlJc w:val="left"/>
      <w:pPr>
        <w:tabs>
          <w:tab w:val="num" w:pos="1492"/>
        </w:tabs>
        <w:ind w:left="1492" w:hanging="360"/>
      </w:pPr>
    </w:lvl>
  </w:abstractNum>
  <w:abstractNum w:abstractNumId="1">
    <w:nsid w:val="FFFFFF7D"/>
    <w:multiLevelType w:val="singleLevel"/>
    <w:tmpl w:val="1EB8EE9E"/>
    <w:lvl w:ilvl="0">
      <w:start w:val="1"/>
      <w:numFmt w:val="decimal"/>
      <w:lvlText w:val="%1."/>
      <w:lvlJc w:val="left"/>
      <w:pPr>
        <w:tabs>
          <w:tab w:val="num" w:pos="1209"/>
        </w:tabs>
        <w:ind w:left="1209" w:hanging="360"/>
      </w:pPr>
    </w:lvl>
  </w:abstractNum>
  <w:abstractNum w:abstractNumId="2">
    <w:nsid w:val="FFFFFF7E"/>
    <w:multiLevelType w:val="singleLevel"/>
    <w:tmpl w:val="C6485F04"/>
    <w:lvl w:ilvl="0">
      <w:start w:val="1"/>
      <w:numFmt w:val="decimal"/>
      <w:lvlText w:val="%1."/>
      <w:lvlJc w:val="left"/>
      <w:pPr>
        <w:tabs>
          <w:tab w:val="num" w:pos="926"/>
        </w:tabs>
        <w:ind w:left="926" w:hanging="360"/>
      </w:pPr>
    </w:lvl>
  </w:abstractNum>
  <w:abstractNum w:abstractNumId="3">
    <w:nsid w:val="FFFFFF7F"/>
    <w:multiLevelType w:val="singleLevel"/>
    <w:tmpl w:val="F830032C"/>
    <w:lvl w:ilvl="0">
      <w:start w:val="1"/>
      <w:numFmt w:val="decimal"/>
      <w:lvlText w:val="%1."/>
      <w:lvlJc w:val="left"/>
      <w:pPr>
        <w:tabs>
          <w:tab w:val="num" w:pos="643"/>
        </w:tabs>
        <w:ind w:left="643" w:hanging="360"/>
      </w:pPr>
    </w:lvl>
  </w:abstractNum>
  <w:abstractNum w:abstractNumId="4">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046C2E"/>
    <w:lvl w:ilvl="0">
      <w:start w:val="1"/>
      <w:numFmt w:val="decimal"/>
      <w:lvlText w:val="%1."/>
      <w:lvlJc w:val="left"/>
      <w:pPr>
        <w:tabs>
          <w:tab w:val="num" w:pos="360"/>
        </w:tabs>
        <w:ind w:left="360" w:hanging="360"/>
      </w:pPr>
    </w:lvl>
  </w:abstractNum>
  <w:abstractNum w:abstractNumId="9">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nsid w:val="4FE70B62"/>
    <w:multiLevelType w:val="hybridMultilevel"/>
    <w:tmpl w:val="ADA8711E"/>
    <w:lvl w:ilvl="0" w:tplc="DBB0A036">
      <w:start w:val="1"/>
      <w:numFmt w:val="hebrew1"/>
      <w:pStyle w:val="Ruller4"/>
      <w:lvlText w:val="%1."/>
      <w:lvlJc w:val="left"/>
      <w:pPr>
        <w:tabs>
          <w:tab w:val="num" w:pos="90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0"/>
  </w:num>
  <w:num w:numId="13">
    <w:abstractNumId w:val="10"/>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227"/>
    <w:rsid w:val="00016EF1"/>
    <w:rsid w:val="00032036"/>
    <w:rsid w:val="00036227"/>
    <w:rsid w:val="00044953"/>
    <w:rsid w:val="00045B4D"/>
    <w:rsid w:val="00050066"/>
    <w:rsid w:val="00072AD2"/>
    <w:rsid w:val="000B1478"/>
    <w:rsid w:val="000C4690"/>
    <w:rsid w:val="000D25C4"/>
    <w:rsid w:val="00160770"/>
    <w:rsid w:val="00164133"/>
    <w:rsid w:val="00193D73"/>
    <w:rsid w:val="001A0164"/>
    <w:rsid w:val="001D23DF"/>
    <w:rsid w:val="001E18FE"/>
    <w:rsid w:val="00200D6B"/>
    <w:rsid w:val="002059D2"/>
    <w:rsid w:val="00224E42"/>
    <w:rsid w:val="002609C2"/>
    <w:rsid w:val="00265F6E"/>
    <w:rsid w:val="002876BF"/>
    <w:rsid w:val="002A4A7A"/>
    <w:rsid w:val="002F7BB6"/>
    <w:rsid w:val="00337796"/>
    <w:rsid w:val="00361DB2"/>
    <w:rsid w:val="0037622E"/>
    <w:rsid w:val="00377102"/>
    <w:rsid w:val="003809EF"/>
    <w:rsid w:val="0038345B"/>
    <w:rsid w:val="003D597D"/>
    <w:rsid w:val="003F0EDB"/>
    <w:rsid w:val="003F1F97"/>
    <w:rsid w:val="0041048F"/>
    <w:rsid w:val="00421A65"/>
    <w:rsid w:val="004610A4"/>
    <w:rsid w:val="004A225A"/>
    <w:rsid w:val="004B29FF"/>
    <w:rsid w:val="004C627F"/>
    <w:rsid w:val="004C7868"/>
    <w:rsid w:val="004D6120"/>
    <w:rsid w:val="00503A3E"/>
    <w:rsid w:val="00520768"/>
    <w:rsid w:val="00527F02"/>
    <w:rsid w:val="00547A92"/>
    <w:rsid w:val="0056192D"/>
    <w:rsid w:val="00591983"/>
    <w:rsid w:val="005A5FEB"/>
    <w:rsid w:val="005D5AB7"/>
    <w:rsid w:val="005F209E"/>
    <w:rsid w:val="00603FAF"/>
    <w:rsid w:val="00624A42"/>
    <w:rsid w:val="00630B96"/>
    <w:rsid w:val="0065522F"/>
    <w:rsid w:val="00691181"/>
    <w:rsid w:val="006A30F7"/>
    <w:rsid w:val="006C42AD"/>
    <w:rsid w:val="0071271A"/>
    <w:rsid w:val="0074160D"/>
    <w:rsid w:val="00741CC0"/>
    <w:rsid w:val="00760626"/>
    <w:rsid w:val="00775B04"/>
    <w:rsid w:val="007B512F"/>
    <w:rsid w:val="007C5A9A"/>
    <w:rsid w:val="007E3A28"/>
    <w:rsid w:val="00810894"/>
    <w:rsid w:val="00814165"/>
    <w:rsid w:val="008143AB"/>
    <w:rsid w:val="00836667"/>
    <w:rsid w:val="008B16E4"/>
    <w:rsid w:val="008C1E05"/>
    <w:rsid w:val="008C2F11"/>
    <w:rsid w:val="008D78B9"/>
    <w:rsid w:val="008E3F85"/>
    <w:rsid w:val="008E5D87"/>
    <w:rsid w:val="009051E8"/>
    <w:rsid w:val="00914156"/>
    <w:rsid w:val="00916FF8"/>
    <w:rsid w:val="00930C85"/>
    <w:rsid w:val="009472F6"/>
    <w:rsid w:val="00954BB3"/>
    <w:rsid w:val="0099067D"/>
    <w:rsid w:val="009B38DA"/>
    <w:rsid w:val="009F2F53"/>
    <w:rsid w:val="009F4187"/>
    <w:rsid w:val="00A00422"/>
    <w:rsid w:val="00A12E0F"/>
    <w:rsid w:val="00A2148C"/>
    <w:rsid w:val="00A51FAE"/>
    <w:rsid w:val="00AB6701"/>
    <w:rsid w:val="00AB69F7"/>
    <w:rsid w:val="00AD097B"/>
    <w:rsid w:val="00AD64B9"/>
    <w:rsid w:val="00AE4947"/>
    <w:rsid w:val="00B5060E"/>
    <w:rsid w:val="00B55F34"/>
    <w:rsid w:val="00B62B8C"/>
    <w:rsid w:val="00B63343"/>
    <w:rsid w:val="00B63C41"/>
    <w:rsid w:val="00B66517"/>
    <w:rsid w:val="00B72E91"/>
    <w:rsid w:val="00B94056"/>
    <w:rsid w:val="00BA5A6F"/>
    <w:rsid w:val="00BC0E82"/>
    <w:rsid w:val="00BC65DB"/>
    <w:rsid w:val="00BD261D"/>
    <w:rsid w:val="00BD26FF"/>
    <w:rsid w:val="00BD40F9"/>
    <w:rsid w:val="00BF4856"/>
    <w:rsid w:val="00C01779"/>
    <w:rsid w:val="00C41C86"/>
    <w:rsid w:val="00C557F6"/>
    <w:rsid w:val="00C63A6C"/>
    <w:rsid w:val="00C76356"/>
    <w:rsid w:val="00C77064"/>
    <w:rsid w:val="00CA13AF"/>
    <w:rsid w:val="00CB7600"/>
    <w:rsid w:val="00CC3639"/>
    <w:rsid w:val="00CC3951"/>
    <w:rsid w:val="00CD2A9B"/>
    <w:rsid w:val="00D01378"/>
    <w:rsid w:val="00D5036E"/>
    <w:rsid w:val="00D60450"/>
    <w:rsid w:val="00D607E5"/>
    <w:rsid w:val="00D706A0"/>
    <w:rsid w:val="00DA5331"/>
    <w:rsid w:val="00DB5A01"/>
    <w:rsid w:val="00E21CA9"/>
    <w:rsid w:val="00E2201F"/>
    <w:rsid w:val="00E31063"/>
    <w:rsid w:val="00E351F1"/>
    <w:rsid w:val="00E36FE9"/>
    <w:rsid w:val="00E73E98"/>
    <w:rsid w:val="00E90D72"/>
    <w:rsid w:val="00EC066E"/>
    <w:rsid w:val="00ED12B3"/>
    <w:rsid w:val="00ED6FD9"/>
    <w:rsid w:val="00F120C3"/>
    <w:rsid w:val="00F56A47"/>
    <w:rsid w:val="00F63C3B"/>
    <w:rsid w:val="00F959DB"/>
    <w:rsid w:val="00FD07FB"/>
    <w:rsid w:val="00FE3AE3"/>
    <w:rsid w:val="00FF2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ler4">
    <w:name w:val="Ruller4 אלפביתי"/>
    <w:basedOn w:val="Ruller40"/>
    <w:next w:val="Ruller40"/>
    <w:rsid w:val="005D5AB7"/>
    <w:pPr>
      <w:numPr>
        <w:numId w:val="11"/>
      </w:numPr>
    </w:pPr>
  </w:style>
  <w:style w:type="character" w:customStyle="1" w:styleId="default">
    <w:name w:val="default"/>
    <w:rsid w:val="005D5AB7"/>
    <w:rPr>
      <w:rFonts w:ascii="Times New Roman" w:hAnsi="Times New Roman" w:cs="Times New Roman"/>
      <w:sz w:val="20"/>
      <w:szCs w:val="26"/>
    </w:rPr>
  </w:style>
  <w:style w:type="character" w:styleId="a7">
    <w:name w:val="Emphasis"/>
    <w:uiPriority w:val="20"/>
    <w:qFormat/>
    <w:rsid w:val="00FE3AE3"/>
    <w:rPr>
      <w:b/>
      <w:bCs/>
      <w:i w:val="0"/>
      <w:iCs w:val="0"/>
    </w:rPr>
  </w:style>
  <w:style w:type="character" w:customStyle="1" w:styleId="st1">
    <w:name w:val="st1"/>
    <w:rsid w:val="00FE3AE3"/>
  </w:style>
  <w:style w:type="paragraph" w:styleId="a8">
    <w:name w:val="Balloon Text"/>
    <w:basedOn w:val="a"/>
    <w:link w:val="a9"/>
    <w:rsid w:val="0071271A"/>
    <w:rPr>
      <w:rFonts w:ascii="Tahoma" w:hAnsi="Tahoma" w:cs="Tahoma"/>
      <w:sz w:val="16"/>
      <w:szCs w:val="16"/>
    </w:rPr>
  </w:style>
  <w:style w:type="character" w:customStyle="1" w:styleId="a9">
    <w:name w:val="טקסט בלונים תו"/>
    <w:link w:val="a8"/>
    <w:rsid w:val="00712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court.gov.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15080200.T08</Template>
  <TotalTime>0</TotalTime>
  <Pages>2</Pages>
  <Words>2421</Words>
  <Characters>12108</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החלטה בתיק דנ"מ  8020/15</vt:lpstr>
    </vt:vector>
  </TitlesOfParts>
  <Company>supreme court of israel</Company>
  <LinksUpToDate>false</LinksUpToDate>
  <CharactersWithSpaces>14501</CharactersWithSpaces>
  <SharedDoc>false</SharedDoc>
  <HLinks>
    <vt:vector size="6" baseType="variant">
      <vt:variant>
        <vt:i4>1966158</vt:i4>
      </vt:variant>
      <vt:variant>
        <vt:i4>0</vt:i4>
      </vt:variant>
      <vt:variant>
        <vt:i4>0</vt:i4>
      </vt:variant>
      <vt:variant>
        <vt:i4>5</vt:i4>
      </vt:variant>
      <vt:variant>
        <vt:lpwstr>http://www.court.gov.il/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החלטה בתיק דנ"מ  8020/15</dc:title>
  <dc:subject/>
  <dc:creator>Administrator</dc:creator>
  <cp:keywords/>
  <dc:description/>
  <cp:lastModifiedBy>בועז חונן</cp:lastModifiedBy>
  <cp:revision>2</cp:revision>
  <cp:lastPrinted>2016-06-08T07:19:00Z</cp:lastPrinted>
  <dcterms:created xsi:type="dcterms:W3CDTF">2016-06-09T10:05:00Z</dcterms:created>
  <dcterms:modified xsi:type="dcterms:W3CDTF">2016-06-09T10:05:00Z</dcterms:modified>
</cp:coreProperties>
</file>